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黑体" w:hAnsi="黑体" w:eastAsia="黑体" w:cs="Times New Roman"/>
          <w:sz w:val="44"/>
          <w:szCs w:val="44"/>
        </w:rPr>
      </w:pPr>
      <w:r>
        <w:rPr>
          <w:rFonts w:hint="eastAsia" w:ascii="黑体" w:hAnsi="黑体" w:eastAsia="黑体" w:cs="Times New Roman"/>
          <w:sz w:val="44"/>
          <w:szCs w:val="44"/>
        </w:rPr>
        <w:t>文安县发展和改革局</w:t>
      </w:r>
      <w:r>
        <w:rPr>
          <w:rFonts w:ascii="黑体" w:hAnsi="黑体" w:eastAsia="黑体" w:cs="Times New Roman"/>
          <w:sz w:val="44"/>
          <w:szCs w:val="44"/>
        </w:rPr>
        <w:t>20</w:t>
      </w:r>
      <w:r>
        <w:rPr>
          <w:rFonts w:hint="eastAsia" w:ascii="黑体" w:hAnsi="黑体" w:eastAsia="黑体" w:cs="Times New Roman"/>
          <w:sz w:val="44"/>
          <w:szCs w:val="44"/>
        </w:rPr>
        <w:t>21</w:t>
      </w:r>
      <w:r>
        <w:rPr>
          <w:rFonts w:ascii="黑体" w:hAnsi="黑体" w:eastAsia="黑体" w:cs="Times New Roman"/>
          <w:sz w:val="44"/>
          <w:szCs w:val="44"/>
        </w:rPr>
        <w:t>年部门预算信息</w:t>
      </w:r>
    </w:p>
    <w:p>
      <w:pPr>
        <w:spacing w:line="584" w:lineRule="exact"/>
        <w:jc w:val="center"/>
        <w:rPr>
          <w:rFonts w:ascii="黑体" w:hAnsi="黑体" w:eastAsia="黑体" w:cs="Times New Roman"/>
          <w:sz w:val="44"/>
          <w:szCs w:val="44"/>
        </w:rPr>
      </w:pPr>
      <w:r>
        <w:rPr>
          <w:rFonts w:ascii="黑体" w:hAnsi="黑体" w:eastAsia="黑体" w:cs="Times New Roman"/>
          <w:sz w:val="44"/>
          <w:szCs w:val="44"/>
        </w:rPr>
        <w:t>公开</w:t>
      </w:r>
      <w:r>
        <w:rPr>
          <w:rFonts w:hint="eastAsia" w:ascii="黑体" w:hAnsi="黑体" w:eastAsia="黑体" w:cs="Times New Roman"/>
          <w:sz w:val="44"/>
          <w:szCs w:val="44"/>
        </w:rPr>
        <w:t>情况说明</w:t>
      </w:r>
    </w:p>
    <w:p>
      <w:pPr>
        <w:spacing w:line="584" w:lineRule="exact"/>
        <w:ind w:firstLine="640" w:firstLineChars="200"/>
        <w:jc w:val="center"/>
        <w:rPr>
          <w:rFonts w:ascii="仿宋" w:hAnsi="仿宋" w:eastAsia="仿宋" w:cs="Times New Roman"/>
          <w:sz w:val="32"/>
          <w:szCs w:val="32"/>
        </w:rPr>
      </w:pP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按照《预算法》、《地方预决算公开操作规程》和《河北省预算公开办法》规定，现将</w:t>
      </w:r>
      <w:r>
        <w:rPr>
          <w:rFonts w:hint="eastAsia" w:ascii="仿宋" w:hAnsi="仿宋" w:eastAsia="仿宋" w:cs="Times New Roman"/>
          <w:sz w:val="32"/>
          <w:szCs w:val="32"/>
        </w:rPr>
        <w:t>文安县发展和改革局</w:t>
      </w: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年部门预算公开如下：</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一、部门职责及机构设置情况</w:t>
      </w:r>
    </w:p>
    <w:p>
      <w:pPr>
        <w:spacing w:line="584" w:lineRule="exact"/>
        <w:ind w:firstLine="643" w:firstLineChars="200"/>
        <w:rPr>
          <w:rFonts w:ascii="仿宋" w:hAnsi="仿宋" w:eastAsia="仿宋" w:cs="Times New Roman"/>
          <w:b/>
          <w:sz w:val="32"/>
          <w:szCs w:val="32"/>
        </w:rPr>
      </w:pPr>
      <w:r>
        <w:rPr>
          <w:rFonts w:ascii="仿宋" w:hAnsi="仿宋" w:eastAsia="仿宋" w:cs="Times New Roman"/>
          <w:b/>
          <w:sz w:val="32"/>
          <w:szCs w:val="32"/>
        </w:rPr>
        <w:t>部门职责：</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一）拟定并组织实施全县国民经济和社会发展战略、中长期规划和年度计划。牵头组织统一规划体系建设。负责县级专项规划、区域规划、空间规划与全县发展规划的统筹衔接。起草国民经济和社会发展、经济体制改革和对外开放的有关草案，制定规范性文件。</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（二）提出加快建设全县现代化经济体系、推动高质量发展的总体目标、重大任务以及相关政策。组织开展重大战略规划、重大政策、重大工程等的评估督导，提出相关调整建议。</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三）贯彻落实国家宏观调控政策，统筹提出全县国民经济和社会发展主要目标，监测预测预警宏观经济和社会发展态势趋势，提出经济调节政策建议。跟踪研判涉及经济安全的风险隐患，提出相关工作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四）指导推进和综合协调经济体制改革有关工作，提出相关改革建议。牵头推进供给侧结构性改革。协调推进产权制度和要素市场化配置改革。落实国家完善基本经济制度政策，推进现代化市场体系建设，会同有关部门组织实施市场准入负面清单制度。牵头推进优化营商环境工作。</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五）提出全县利用外资和境外投资的战略、规划、总量平衡和结构优化政策。牵头推进实施全县“一带一路”建设有关工作。承担统筹协调走出去有关工作。负责全县全口径外债的总量控制、结构优化和监测工作。贯彻落实国家外商投资准入负面清单。拟订并组织实施全县外商投资政策。指导全县招商引资工作，规范招商引资活动，依法指导全县吸引外资工作，规范域外招商引资活</w:t>
      </w:r>
      <w:r>
        <w:rPr>
          <w:rFonts w:hint="eastAsia" w:ascii="仿宋" w:hAnsi="仿宋" w:eastAsia="仿宋" w:cs="Times New Roman"/>
          <w:sz w:val="32"/>
          <w:szCs w:val="32"/>
        </w:rPr>
        <w:t>动</w:t>
      </w:r>
      <w:r>
        <w:rPr>
          <w:rFonts w:ascii="仿宋" w:hAnsi="仿宋" w:eastAsia="仿宋" w:cs="Times New Roman"/>
          <w:sz w:val="32"/>
          <w:szCs w:val="32"/>
        </w:rPr>
        <w:t>。拟订并执行对外经济合作政策，依法管理和监督对外投资、对外承包工程、对外劳务合作等。拟订全县对外投资管理办法和具体政策。综合协调、指导经济开发区（聚集区）有关工作。负责推进我县进出口贸易的标准化建设。组织实施国家制定的重要工业品、原材料和重要农产品进出口总量计划。指导贸易促进活动和外贸促进体系建设，拟订和推进全县科技兴贸战略。依法监督技术引进、设备进口、国家限制出口技术工作。牵头拟订并组织实施全县服务贸易发展规划。</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六）负责全县投资综合管理。拟订全县固定资产投资总规模、结构调控目标和政策，执行上级拟订的政府投资项目审批权限和政府核准的固定资产投资项目目录。规划全县重点建设项目和生产力布局，组织推动重点建设项目。拟订并推动落实鼓励民间投资政策措施。</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七）推进落实区域协调发展战略、新型城镇化战略和重大政策，组织拟订相关区域规划和政策。推进实施京津冀协同发展等区域发展战略。统筹协调区域合作和对口支援工作。组织编制并推动实施新型城镇化规划。</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组织实施重要消费品储备管理和市场调控工作。</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十）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十一）推进实施可持续发展战略，推动生态文明建设和改革，协调生态环境保护与修复、能源资源节约和综合利用等工作。提出健全生态保护补偿机制的政策措施，综合协调环保产业和清洁生产促进有关工作。提出全县能源节约消费控制目标、任务并组织实施。</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（十二）组织拟订推进全县经济建设与国防建设协调发展的战略和规划，组织推进经济建设项目贯彻国防要求。</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（十三）承担县委财经委员会、县推进京津冀协同发展工作领导小组、县重点建设领导小组</w:t>
      </w:r>
      <w:r>
        <w:rPr>
          <w:rFonts w:hint="eastAsia" w:ascii="仿宋" w:hAnsi="仿宋" w:eastAsia="仿宋" w:cs="Times New Roman"/>
          <w:sz w:val="32"/>
          <w:szCs w:val="32"/>
        </w:rPr>
        <w:t>、县招商引资工作领导小组、县化解钢铁过剩产能工作领导小组、县服务支持雄安新区规划建设推进工作领导小组</w:t>
      </w:r>
      <w:r>
        <w:rPr>
          <w:rFonts w:ascii="仿宋" w:hAnsi="仿宋" w:eastAsia="仿宋" w:cs="Times New Roman"/>
          <w:sz w:val="32"/>
          <w:szCs w:val="32"/>
        </w:rPr>
        <w:t>等有关具体工作。</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十四）组织落实国家、省、市有关粮食流通和物资储备的法律、法规和政策。落实国家、省、市粮食行业发展规划和政策，制定全县粮食行业发展规划并组织实施。拟订全县粮食流通、县级粮食储备和物资储备的政策和规章制度并组织实施。承担全县粮食流通宏观调控，落实国家粮食购销政策，组织实施省、县级粮食、食糖和救灾物资等物资的收储、轮换和日常管理，落实有关动用计划和指令。会同有关部门拟订全县储备物资品种目录、总体发展规划，贯彻落实国家粮食和物资储备仓储管理有关技术标准和规范。指导全县粮食流通和物资储备体制改革。承担粮食安全责任制考核日常工作。</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十五）提出能源发展战略的建议，拟订能源发展规划、产业政策和年度指导计划并组织实施。推进能源体制改革，协调能源发展和改革中的重大问题。组织实施煤炭、石油、天然气、电力（核电）、新能源和可再生能源等能源，以及煤制燃料和生物质液体等燃料的产业政策和相关标准。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制定与能源相关的资源、财税、环保及应对气候变化等政策，提出能源价格调整建议。</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（十六）</w:t>
      </w:r>
      <w:r>
        <w:rPr>
          <w:rFonts w:hint="eastAsia" w:ascii="仿宋" w:hAnsi="仿宋" w:eastAsia="仿宋" w:cs="Times New Roman"/>
          <w:sz w:val="32"/>
          <w:szCs w:val="32"/>
        </w:rPr>
        <w:t>监测研判外贸形势并提出政策建议。指导、协调全县货物进出口工作，拟订全县进出口商品中长期规划和外贸增长方式转变的政策措施。牵头拟订全县服务贸易发展规划并组织实施。承担服务贸易促进和服务贸易统计工作。拟订全县外商投资政策并组织实施。负责有关商务外事活动的管理与服务工作。</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十七</w:t>
      </w:r>
      <w:r>
        <w:rPr>
          <w:rFonts w:hint="eastAsia" w:ascii="仿宋" w:hAnsi="仿宋" w:eastAsia="仿宋" w:cs="Times New Roman"/>
          <w:sz w:val="32"/>
          <w:szCs w:val="32"/>
        </w:rPr>
        <w:t>）研究拟订全县健全、规范市场体系的政策，推进商品市场标准化；指导大宗产品批发市场建设和城市商业网点规划、商业体系建设，指导社区商业发展，推进农村市场体系建设和改造提升。负责提出促进流通业发展的有关政策，完善国内贸易市场组织体系。推动连锁经营、商业特许经营等流通方式发展，促进流通标准化和现代流通技术进步。承担全县商务服务业（含餐饮业、住宿业等生活服务业）行业的管理工作。推进全县优化营商环境工作。</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八）组织谋划、实施事关全县经济和社会发展全局的重大项目。编制全县重点建设项目工作计划并监督执行。参与并协调、调度、督导重点建设项目前期工作。协调解决重点项目实施过程中的重大问题。负责重点项目的概算调整、竣工验收和后评价工作。</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（十九）</w:t>
      </w:r>
      <w:r>
        <w:rPr>
          <w:rFonts w:ascii="仿宋" w:hAnsi="仿宋" w:eastAsia="仿宋" w:cs="Times New Roman"/>
          <w:sz w:val="32"/>
          <w:szCs w:val="32"/>
        </w:rPr>
        <w:t>完成县委、县政府交办的其他任务。</w:t>
      </w:r>
    </w:p>
    <w:p>
      <w:pPr>
        <w:autoSpaceDE w:val="0"/>
        <w:autoSpaceDN w:val="0"/>
        <w:adjustRightInd w:val="0"/>
        <w:spacing w:line="584" w:lineRule="exact"/>
        <w:ind w:firstLine="630" w:firstLineChars="196"/>
        <w:jc w:val="left"/>
        <w:rPr>
          <w:rFonts w:ascii="仿宋" w:hAnsi="仿宋" w:eastAsia="仿宋" w:cs="Times New Roman"/>
          <w:b/>
          <w:sz w:val="32"/>
          <w:szCs w:val="32"/>
        </w:rPr>
      </w:pPr>
      <w:r>
        <w:rPr>
          <w:rFonts w:ascii="仿宋" w:hAnsi="仿宋" w:eastAsia="仿宋" w:cs="Times New Roman"/>
          <w:b/>
          <w:sz w:val="32"/>
          <w:szCs w:val="32"/>
        </w:rPr>
        <w:t>机构设置：</w:t>
      </w:r>
    </w:p>
    <w:p>
      <w:pPr>
        <w:spacing w:line="584" w:lineRule="exact"/>
        <w:jc w:val="center"/>
        <w:outlineLvl w:val="0"/>
        <w:rPr>
          <w:rFonts w:ascii="仿宋" w:hAnsi="仿宋" w:eastAsia="仿宋" w:cs="Times New Roman"/>
          <w:b/>
          <w:sz w:val="32"/>
          <w:szCs w:val="32"/>
        </w:rPr>
      </w:pPr>
      <w:r>
        <w:rPr>
          <w:rFonts w:ascii="仿宋" w:hAnsi="仿宋" w:eastAsia="仿宋" w:cs="Times New Roman"/>
          <w:b/>
          <w:sz w:val="32"/>
          <w:szCs w:val="32"/>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仿宋" w:hAnsi="仿宋" w:eastAsia="仿宋" w:cs="Times New Roman"/>
                <w:b/>
                <w:sz w:val="32"/>
                <w:szCs w:val="32"/>
              </w:rPr>
            </w:pPr>
            <w:r>
              <w:rPr>
                <w:rFonts w:ascii="仿宋" w:hAnsi="仿宋" w:eastAsia="仿宋" w:cs="Times New Roman"/>
                <w:b/>
                <w:sz w:val="32"/>
                <w:szCs w:val="32"/>
              </w:rPr>
              <w:t>单位名称</w:t>
            </w:r>
          </w:p>
        </w:tc>
        <w:tc>
          <w:tcPr>
            <w:tcW w:w="1134" w:type="dxa"/>
            <w:vMerge w:val="restart"/>
            <w:shd w:val="clear" w:color="auto" w:fill="auto"/>
            <w:vAlign w:val="center"/>
          </w:tcPr>
          <w:p>
            <w:pPr>
              <w:spacing w:line="584" w:lineRule="exact"/>
              <w:jc w:val="center"/>
              <w:rPr>
                <w:rFonts w:ascii="仿宋" w:hAnsi="仿宋" w:eastAsia="仿宋" w:cs="Times New Roman"/>
                <w:b/>
                <w:sz w:val="32"/>
                <w:szCs w:val="32"/>
              </w:rPr>
            </w:pPr>
            <w:r>
              <w:rPr>
                <w:rFonts w:ascii="仿宋" w:hAnsi="仿宋" w:eastAsia="仿宋" w:cs="Times New Roman"/>
                <w:b/>
                <w:sz w:val="32"/>
                <w:szCs w:val="32"/>
              </w:rPr>
              <w:t>单位性质</w:t>
            </w:r>
          </w:p>
        </w:tc>
        <w:tc>
          <w:tcPr>
            <w:tcW w:w="1276" w:type="dxa"/>
            <w:vMerge w:val="restart"/>
            <w:shd w:val="clear" w:color="auto" w:fill="auto"/>
            <w:vAlign w:val="center"/>
          </w:tcPr>
          <w:p>
            <w:pPr>
              <w:spacing w:line="584" w:lineRule="exact"/>
              <w:jc w:val="center"/>
              <w:rPr>
                <w:rFonts w:ascii="仿宋" w:hAnsi="仿宋" w:eastAsia="仿宋" w:cs="Times New Roman"/>
                <w:b/>
                <w:sz w:val="32"/>
                <w:szCs w:val="32"/>
              </w:rPr>
            </w:pPr>
            <w:r>
              <w:rPr>
                <w:rFonts w:ascii="仿宋" w:hAnsi="仿宋" w:eastAsia="仿宋" w:cs="Times New Roman"/>
                <w:b/>
                <w:sz w:val="32"/>
                <w:szCs w:val="32"/>
              </w:rPr>
              <w:t>单位规格</w:t>
            </w:r>
          </w:p>
        </w:tc>
        <w:tc>
          <w:tcPr>
            <w:tcW w:w="2902" w:type="dxa"/>
            <w:vMerge w:val="restart"/>
            <w:shd w:val="clear" w:color="auto" w:fill="auto"/>
            <w:vAlign w:val="center"/>
          </w:tcPr>
          <w:p>
            <w:pPr>
              <w:spacing w:line="584" w:lineRule="exact"/>
              <w:jc w:val="center"/>
              <w:rPr>
                <w:rFonts w:ascii="仿宋" w:hAnsi="仿宋" w:eastAsia="仿宋" w:cs="Times New Roman"/>
                <w:b/>
                <w:sz w:val="32"/>
                <w:szCs w:val="32"/>
              </w:rPr>
            </w:pPr>
            <w:r>
              <w:rPr>
                <w:rFonts w:ascii="仿宋" w:hAnsi="仿宋" w:eastAsia="仿宋"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仿宋" w:hAnsi="仿宋" w:eastAsia="仿宋" w:cs="Times New Roman"/>
                <w:sz w:val="32"/>
                <w:szCs w:val="32"/>
              </w:rPr>
            </w:pPr>
          </w:p>
        </w:tc>
        <w:tc>
          <w:tcPr>
            <w:tcW w:w="1134" w:type="dxa"/>
            <w:vMerge w:val="continue"/>
            <w:shd w:val="clear" w:color="auto" w:fill="auto"/>
            <w:vAlign w:val="center"/>
          </w:tcPr>
          <w:p>
            <w:pPr>
              <w:spacing w:line="584" w:lineRule="exact"/>
              <w:jc w:val="left"/>
              <w:outlineLvl w:val="0"/>
              <w:rPr>
                <w:rFonts w:ascii="仿宋" w:hAnsi="仿宋" w:eastAsia="仿宋" w:cs="Times New Roman"/>
                <w:sz w:val="32"/>
                <w:szCs w:val="32"/>
              </w:rPr>
            </w:pPr>
          </w:p>
        </w:tc>
        <w:tc>
          <w:tcPr>
            <w:tcW w:w="1276" w:type="dxa"/>
            <w:vMerge w:val="continue"/>
            <w:shd w:val="clear" w:color="auto" w:fill="auto"/>
            <w:vAlign w:val="center"/>
          </w:tcPr>
          <w:p>
            <w:pPr>
              <w:spacing w:line="584" w:lineRule="exact"/>
              <w:jc w:val="left"/>
              <w:outlineLvl w:val="0"/>
              <w:rPr>
                <w:rFonts w:ascii="仿宋" w:hAnsi="仿宋" w:eastAsia="仿宋" w:cs="Times New Roman"/>
                <w:sz w:val="32"/>
                <w:szCs w:val="32"/>
              </w:rPr>
            </w:pPr>
          </w:p>
        </w:tc>
        <w:tc>
          <w:tcPr>
            <w:tcW w:w="2902" w:type="dxa"/>
            <w:vMerge w:val="continue"/>
            <w:shd w:val="clear" w:color="auto" w:fill="auto"/>
            <w:vAlign w:val="center"/>
          </w:tcPr>
          <w:p>
            <w:pPr>
              <w:spacing w:line="584" w:lineRule="exact"/>
              <w:jc w:val="left"/>
              <w:outlineLvl w:val="0"/>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 w:hAnsi="仿宋" w:eastAsia="仿宋" w:cs="Times New Roman"/>
                <w:b/>
                <w:sz w:val="32"/>
                <w:szCs w:val="32"/>
              </w:rPr>
            </w:pPr>
            <w:r>
              <w:rPr>
                <w:rFonts w:hint="eastAsia" w:ascii="仿宋" w:hAnsi="仿宋" w:eastAsia="仿宋" w:cs="Times New Roman"/>
                <w:b/>
                <w:sz w:val="32"/>
                <w:szCs w:val="32"/>
              </w:rPr>
              <w:t>文安县发展和改革局</w:t>
            </w:r>
          </w:p>
        </w:tc>
        <w:tc>
          <w:tcPr>
            <w:tcW w:w="1134" w:type="dxa"/>
            <w:shd w:val="clear" w:color="auto" w:fill="auto"/>
            <w:vAlign w:val="center"/>
          </w:tcPr>
          <w:p>
            <w:pPr>
              <w:spacing w:line="584" w:lineRule="exact"/>
              <w:jc w:val="center"/>
              <w:rPr>
                <w:rFonts w:ascii="仿宋" w:hAnsi="仿宋" w:eastAsia="仿宋" w:cs="Times New Roman"/>
                <w:b/>
                <w:sz w:val="32"/>
                <w:szCs w:val="32"/>
              </w:rPr>
            </w:pPr>
            <w:r>
              <w:rPr>
                <w:rFonts w:hint="eastAsia" w:ascii="仿宋" w:hAnsi="仿宋" w:eastAsia="仿宋" w:cs="Times New Roman"/>
                <w:b/>
                <w:sz w:val="32"/>
                <w:szCs w:val="32"/>
              </w:rPr>
              <w:t>行政</w:t>
            </w:r>
          </w:p>
        </w:tc>
        <w:tc>
          <w:tcPr>
            <w:tcW w:w="1276" w:type="dxa"/>
            <w:shd w:val="clear" w:color="auto" w:fill="auto"/>
            <w:vAlign w:val="center"/>
          </w:tcPr>
          <w:p>
            <w:pPr>
              <w:spacing w:line="584" w:lineRule="exact"/>
              <w:jc w:val="center"/>
              <w:rPr>
                <w:rFonts w:ascii="仿宋" w:hAnsi="仿宋" w:eastAsia="仿宋" w:cs="Times New Roman"/>
                <w:b/>
                <w:sz w:val="32"/>
                <w:szCs w:val="32"/>
              </w:rPr>
            </w:pPr>
            <w:r>
              <w:rPr>
                <w:rFonts w:hint="eastAsia" w:ascii="仿宋" w:hAnsi="仿宋" w:eastAsia="仿宋" w:cs="Times New Roman"/>
                <w:b/>
                <w:sz w:val="32"/>
                <w:szCs w:val="32"/>
              </w:rPr>
              <w:t>正科级</w:t>
            </w:r>
          </w:p>
        </w:tc>
        <w:tc>
          <w:tcPr>
            <w:tcW w:w="2902" w:type="dxa"/>
            <w:shd w:val="clear" w:color="auto" w:fill="auto"/>
            <w:vAlign w:val="center"/>
          </w:tcPr>
          <w:p>
            <w:pPr>
              <w:spacing w:line="584" w:lineRule="exact"/>
              <w:jc w:val="center"/>
              <w:rPr>
                <w:rFonts w:ascii="仿宋" w:hAnsi="仿宋" w:eastAsia="仿宋" w:cs="Times New Roman"/>
                <w:b/>
                <w:sz w:val="32"/>
                <w:szCs w:val="32"/>
              </w:rPr>
            </w:pPr>
            <w:r>
              <w:rPr>
                <w:rFonts w:hint="eastAsia" w:ascii="仿宋" w:hAnsi="仿宋" w:eastAsia="仿宋" w:cs="Times New Roman"/>
                <w:b/>
                <w:sz w:val="32"/>
                <w:szCs w:val="32"/>
              </w:rPr>
              <w:t>财政拨款</w:t>
            </w:r>
          </w:p>
        </w:tc>
      </w:tr>
    </w:tbl>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二、部门预算安排的总体情况</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按照预算管理有关规定，目前我</w:t>
      </w:r>
      <w:r>
        <w:rPr>
          <w:rFonts w:hint="eastAsia" w:ascii="仿宋" w:hAnsi="仿宋" w:eastAsia="仿宋" w:cs="Times New Roman"/>
          <w:sz w:val="32"/>
          <w:szCs w:val="32"/>
        </w:rPr>
        <w:t>县</w:t>
      </w:r>
      <w:r>
        <w:rPr>
          <w:rFonts w:ascii="仿宋" w:hAnsi="仿宋" w:eastAsia="仿宋" w:cs="Times New Roman"/>
          <w:sz w:val="32"/>
          <w:szCs w:val="32"/>
        </w:rPr>
        <w:t>部门预算的编制实行综合预算制度，即全部收入和支出都反映在预算中。</w:t>
      </w:r>
      <w:r>
        <w:rPr>
          <w:rFonts w:hint="eastAsia" w:ascii="仿宋" w:hAnsi="仿宋" w:eastAsia="仿宋" w:cs="Times New Roman"/>
          <w:sz w:val="32"/>
          <w:szCs w:val="32"/>
        </w:rPr>
        <w:t>文安县发展和改革局</w:t>
      </w:r>
      <w:r>
        <w:rPr>
          <w:rFonts w:ascii="仿宋" w:hAnsi="仿宋" w:eastAsia="仿宋" w:cs="Times New Roman"/>
          <w:sz w:val="32"/>
          <w:szCs w:val="32"/>
        </w:rPr>
        <w:t>机关及所属事业单位的收支包含在部门预算中。</w:t>
      </w:r>
    </w:p>
    <w:p>
      <w:pPr>
        <w:spacing w:line="584" w:lineRule="exact"/>
        <w:ind w:firstLine="640"/>
        <w:rPr>
          <w:rFonts w:ascii="仿宋" w:hAnsi="仿宋" w:eastAsia="仿宋" w:cs="Times New Roman"/>
          <w:b/>
          <w:sz w:val="32"/>
          <w:szCs w:val="32"/>
        </w:rPr>
      </w:pPr>
      <w:r>
        <w:rPr>
          <w:rFonts w:ascii="仿宋" w:hAnsi="仿宋" w:eastAsia="仿宋" w:cs="Times New Roman"/>
          <w:b/>
          <w:sz w:val="32"/>
          <w:szCs w:val="32"/>
        </w:rPr>
        <w:t>1、收入说明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反映本部门当年全部收入。20</w:t>
      </w:r>
      <w:r>
        <w:rPr>
          <w:rFonts w:hint="eastAsia" w:ascii="仿宋" w:hAnsi="仿宋" w:eastAsia="仿宋" w:cs="Times New Roman"/>
          <w:sz w:val="32"/>
          <w:szCs w:val="32"/>
        </w:rPr>
        <w:t>21</w:t>
      </w:r>
      <w:r>
        <w:rPr>
          <w:rFonts w:ascii="仿宋" w:hAnsi="仿宋" w:eastAsia="仿宋" w:cs="Times New Roman"/>
          <w:sz w:val="32"/>
          <w:szCs w:val="32"/>
        </w:rPr>
        <w:t>年预算收入</w:t>
      </w:r>
      <w:r>
        <w:rPr>
          <w:rFonts w:hint="eastAsia" w:ascii="仿宋" w:hAnsi="仿宋" w:eastAsia="仿宋" w:cs="Times New Roman"/>
          <w:sz w:val="32"/>
          <w:szCs w:val="32"/>
        </w:rPr>
        <w:t>5386.59</w:t>
      </w:r>
      <w:r>
        <w:rPr>
          <w:rFonts w:ascii="仿宋" w:hAnsi="仿宋" w:eastAsia="仿宋" w:cs="Times New Roman"/>
          <w:sz w:val="32"/>
          <w:szCs w:val="32"/>
        </w:rPr>
        <w:t>万元，其中：一般公共预算收入</w:t>
      </w:r>
      <w:r>
        <w:rPr>
          <w:rFonts w:hint="eastAsia" w:ascii="仿宋" w:hAnsi="仿宋" w:eastAsia="仿宋" w:cs="Times New Roman"/>
          <w:sz w:val="32"/>
          <w:szCs w:val="32"/>
        </w:rPr>
        <w:t>5079.1</w:t>
      </w:r>
      <w:r>
        <w:rPr>
          <w:rFonts w:ascii="仿宋" w:hAnsi="仿宋" w:eastAsia="仿宋" w:cs="Times New Roman"/>
          <w:sz w:val="32"/>
          <w:szCs w:val="32"/>
        </w:rPr>
        <w:t>万元，基金预算收入</w:t>
      </w:r>
      <w:r>
        <w:rPr>
          <w:rFonts w:hint="eastAsia" w:ascii="仿宋" w:hAnsi="仿宋" w:eastAsia="仿宋" w:cs="Times New Roman"/>
          <w:sz w:val="32"/>
          <w:szCs w:val="32"/>
        </w:rPr>
        <w:t>307.49</w:t>
      </w:r>
      <w:r>
        <w:rPr>
          <w:rFonts w:ascii="仿宋" w:hAnsi="仿宋" w:eastAsia="仿宋" w:cs="Times New Roman"/>
          <w:sz w:val="32"/>
          <w:szCs w:val="32"/>
        </w:rPr>
        <w:t>万元，财政专户核拨收入</w:t>
      </w:r>
      <w:r>
        <w:rPr>
          <w:rFonts w:hint="eastAsia" w:ascii="仿宋" w:hAnsi="仿宋" w:eastAsia="仿宋" w:cs="Times New Roman"/>
          <w:sz w:val="32"/>
          <w:szCs w:val="32"/>
        </w:rPr>
        <w:t>0</w:t>
      </w:r>
      <w:r>
        <w:rPr>
          <w:rFonts w:ascii="仿宋" w:hAnsi="仿宋" w:eastAsia="仿宋" w:cs="Times New Roman"/>
          <w:sz w:val="32"/>
          <w:szCs w:val="32"/>
        </w:rPr>
        <w:t>万元，其他来源收入</w:t>
      </w:r>
      <w:r>
        <w:rPr>
          <w:rFonts w:hint="eastAsia" w:ascii="仿宋" w:hAnsi="仿宋" w:eastAsia="仿宋" w:cs="Times New Roman"/>
          <w:sz w:val="32"/>
          <w:szCs w:val="32"/>
        </w:rPr>
        <w:t>0</w:t>
      </w:r>
      <w:r>
        <w:rPr>
          <w:rFonts w:ascii="仿宋" w:hAnsi="仿宋" w:eastAsia="仿宋" w:cs="Times New Roman"/>
          <w:sz w:val="32"/>
          <w:szCs w:val="32"/>
        </w:rPr>
        <w:t>万元。</w:t>
      </w:r>
    </w:p>
    <w:p>
      <w:pPr>
        <w:spacing w:line="584" w:lineRule="exact"/>
        <w:ind w:firstLine="640"/>
        <w:rPr>
          <w:rFonts w:ascii="仿宋" w:hAnsi="仿宋" w:eastAsia="仿宋" w:cs="Times New Roman"/>
          <w:b/>
          <w:sz w:val="32"/>
          <w:szCs w:val="32"/>
        </w:rPr>
      </w:pPr>
      <w:r>
        <w:rPr>
          <w:rFonts w:ascii="仿宋" w:hAnsi="仿宋" w:eastAsia="仿宋" w:cs="Times New Roman"/>
          <w:b/>
          <w:sz w:val="32"/>
          <w:szCs w:val="32"/>
        </w:rPr>
        <w:t>2、支出说明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收支预算总表支出栏、基本支出表、项目支出表按经济分类和支出功能分类科目编制，反映</w:t>
      </w:r>
      <w:r>
        <w:rPr>
          <w:rFonts w:hint="eastAsia" w:ascii="仿宋" w:hAnsi="仿宋" w:eastAsia="仿宋" w:cs="Times New Roman"/>
          <w:sz w:val="32"/>
          <w:szCs w:val="32"/>
        </w:rPr>
        <w:t>文安县发展和改革局2021</w:t>
      </w:r>
      <w:r>
        <w:rPr>
          <w:rFonts w:ascii="仿宋" w:hAnsi="仿宋" w:eastAsia="仿宋" w:cs="Times New Roman"/>
          <w:sz w:val="32"/>
          <w:szCs w:val="32"/>
        </w:rPr>
        <w:t>年度部门预算中支出预算的总体情况。20</w:t>
      </w:r>
      <w:r>
        <w:rPr>
          <w:rFonts w:hint="eastAsia" w:ascii="仿宋" w:hAnsi="仿宋" w:eastAsia="仿宋" w:cs="Times New Roman"/>
          <w:sz w:val="32"/>
          <w:szCs w:val="32"/>
        </w:rPr>
        <w:t>21</w:t>
      </w:r>
      <w:r>
        <w:rPr>
          <w:rFonts w:ascii="仿宋" w:hAnsi="仿宋" w:eastAsia="仿宋" w:cs="Times New Roman"/>
          <w:sz w:val="32"/>
          <w:szCs w:val="32"/>
        </w:rPr>
        <w:t>年支出预算</w:t>
      </w:r>
      <w:r>
        <w:rPr>
          <w:rFonts w:hint="eastAsia" w:ascii="仿宋" w:hAnsi="仿宋" w:eastAsia="仿宋" w:cs="Times New Roman"/>
          <w:sz w:val="32"/>
          <w:szCs w:val="32"/>
        </w:rPr>
        <w:t>5386.59</w:t>
      </w:r>
      <w:r>
        <w:rPr>
          <w:rFonts w:ascii="仿宋" w:hAnsi="仿宋" w:eastAsia="仿宋" w:cs="Times New Roman"/>
          <w:sz w:val="32"/>
          <w:szCs w:val="32"/>
        </w:rPr>
        <w:t>万元，其中基本支出</w:t>
      </w:r>
      <w:r>
        <w:rPr>
          <w:rFonts w:hint="eastAsia" w:ascii="仿宋" w:hAnsi="仿宋" w:eastAsia="仿宋" w:cs="Times New Roman"/>
          <w:sz w:val="32"/>
          <w:szCs w:val="32"/>
        </w:rPr>
        <w:t>1290.72</w:t>
      </w:r>
      <w:r>
        <w:rPr>
          <w:rFonts w:ascii="仿宋" w:hAnsi="仿宋" w:eastAsia="仿宋" w:cs="Times New Roman"/>
          <w:sz w:val="32"/>
          <w:szCs w:val="32"/>
        </w:rPr>
        <w:t>万元，包括人员经费</w:t>
      </w:r>
      <w:r>
        <w:rPr>
          <w:rFonts w:hint="eastAsia" w:ascii="仿宋" w:hAnsi="仿宋" w:eastAsia="仿宋" w:cs="Times New Roman"/>
          <w:sz w:val="32"/>
          <w:szCs w:val="32"/>
        </w:rPr>
        <w:t>1201.32</w:t>
      </w:r>
      <w:r>
        <w:rPr>
          <w:rFonts w:ascii="仿宋" w:hAnsi="仿宋" w:eastAsia="仿宋" w:cs="Times New Roman"/>
          <w:sz w:val="32"/>
          <w:szCs w:val="32"/>
        </w:rPr>
        <w:t>万元和日常公用经费</w:t>
      </w:r>
      <w:r>
        <w:rPr>
          <w:rFonts w:hint="eastAsia" w:ascii="仿宋" w:hAnsi="仿宋" w:eastAsia="仿宋" w:cs="Times New Roman"/>
          <w:sz w:val="32"/>
          <w:szCs w:val="32"/>
        </w:rPr>
        <w:t>89.4</w:t>
      </w:r>
      <w:r>
        <w:rPr>
          <w:rFonts w:ascii="仿宋" w:hAnsi="仿宋" w:eastAsia="仿宋" w:cs="Times New Roman"/>
          <w:sz w:val="32"/>
          <w:szCs w:val="32"/>
        </w:rPr>
        <w:t>万元；项目支出</w:t>
      </w:r>
      <w:r>
        <w:rPr>
          <w:rFonts w:hint="eastAsia" w:ascii="仿宋" w:hAnsi="仿宋" w:eastAsia="仿宋" w:cs="Times New Roman"/>
          <w:sz w:val="32"/>
          <w:szCs w:val="32"/>
        </w:rPr>
        <w:t>4095.87</w:t>
      </w:r>
      <w:r>
        <w:rPr>
          <w:rFonts w:ascii="仿宋" w:hAnsi="仿宋" w:eastAsia="仿宋" w:cs="Times New Roman"/>
          <w:sz w:val="32"/>
          <w:szCs w:val="32"/>
        </w:rPr>
        <w:t>万元，</w:t>
      </w:r>
      <w:r>
        <w:rPr>
          <w:rFonts w:hint="eastAsia" w:ascii="仿宋" w:hAnsi="仿宋" w:eastAsia="仿宋" w:cs="Times New Roman"/>
          <w:sz w:val="32"/>
          <w:szCs w:val="32"/>
        </w:rPr>
        <w:t>为</w:t>
      </w:r>
      <w:r>
        <w:rPr>
          <w:rFonts w:ascii="仿宋" w:hAnsi="仿宋" w:eastAsia="仿宋" w:cs="Times New Roman"/>
          <w:sz w:val="32"/>
          <w:szCs w:val="32"/>
        </w:rPr>
        <w:t>本级支出，主要为</w:t>
      </w:r>
      <w:r>
        <w:rPr>
          <w:rFonts w:hint="eastAsia" w:ascii="仿宋" w:hAnsi="仿宋" w:eastAsia="仿宋" w:cs="Times New Roman"/>
          <w:sz w:val="32"/>
          <w:szCs w:val="32"/>
        </w:rPr>
        <w:t>十四五规划编制费</w:t>
      </w:r>
      <w:r>
        <w:rPr>
          <w:rFonts w:ascii="仿宋" w:hAnsi="仿宋" w:eastAsia="仿宋" w:cs="Times New Roman"/>
          <w:sz w:val="32"/>
          <w:szCs w:val="32"/>
        </w:rPr>
        <w:t>、</w:t>
      </w:r>
      <w:r>
        <w:rPr>
          <w:rFonts w:hint="eastAsia" w:ascii="仿宋" w:hAnsi="仿宋" w:eastAsia="仿宋" w:cs="Times New Roman"/>
          <w:sz w:val="32"/>
          <w:szCs w:val="32"/>
        </w:rPr>
        <w:t>粮食企业改制资金</w:t>
      </w:r>
      <w:r>
        <w:rPr>
          <w:rFonts w:ascii="仿宋" w:hAnsi="仿宋" w:eastAsia="仿宋" w:cs="Times New Roman"/>
          <w:sz w:val="32"/>
          <w:szCs w:val="32"/>
        </w:rPr>
        <w:t>、</w:t>
      </w:r>
      <w:r>
        <w:rPr>
          <w:rFonts w:hint="eastAsia" w:ascii="仿宋" w:hAnsi="仿宋" w:eastAsia="仿宋" w:cs="Times New Roman"/>
          <w:sz w:val="32"/>
          <w:szCs w:val="32"/>
        </w:rPr>
        <w:t>产业规划编制费</w:t>
      </w:r>
      <w:r>
        <w:rPr>
          <w:rFonts w:ascii="仿宋" w:hAnsi="仿宋" w:eastAsia="仿宋" w:cs="Times New Roman"/>
          <w:sz w:val="32"/>
          <w:szCs w:val="32"/>
        </w:rPr>
        <w:t>等。</w:t>
      </w:r>
    </w:p>
    <w:p>
      <w:pPr>
        <w:spacing w:line="584" w:lineRule="exact"/>
        <w:ind w:firstLine="640"/>
        <w:rPr>
          <w:rFonts w:ascii="仿宋" w:hAnsi="仿宋" w:eastAsia="仿宋" w:cs="Times New Roman"/>
          <w:b/>
          <w:sz w:val="32"/>
          <w:szCs w:val="32"/>
        </w:rPr>
      </w:pPr>
      <w:r>
        <w:rPr>
          <w:rFonts w:ascii="仿宋" w:hAnsi="仿宋" w:eastAsia="仿宋" w:cs="Times New Roman"/>
          <w:b/>
          <w:sz w:val="32"/>
          <w:szCs w:val="32"/>
        </w:rPr>
        <w:t>3、比上年增减情况</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年预算收支安排</w:t>
      </w:r>
      <w:r>
        <w:rPr>
          <w:rFonts w:hint="eastAsia" w:ascii="仿宋" w:hAnsi="仿宋" w:eastAsia="仿宋" w:cs="Times New Roman"/>
          <w:sz w:val="32"/>
          <w:szCs w:val="32"/>
        </w:rPr>
        <w:t>5386.59</w:t>
      </w:r>
      <w:r>
        <w:rPr>
          <w:rFonts w:ascii="仿宋" w:hAnsi="仿宋" w:eastAsia="仿宋" w:cs="Times New Roman"/>
          <w:sz w:val="32"/>
          <w:szCs w:val="32"/>
        </w:rPr>
        <w:t>万元，较20</w:t>
      </w:r>
      <w:r>
        <w:rPr>
          <w:rFonts w:hint="eastAsia" w:ascii="仿宋" w:hAnsi="仿宋" w:eastAsia="仿宋" w:cs="Times New Roman"/>
          <w:sz w:val="32"/>
          <w:szCs w:val="32"/>
        </w:rPr>
        <w:t>20</w:t>
      </w:r>
      <w:r>
        <w:rPr>
          <w:rFonts w:ascii="仿宋" w:hAnsi="仿宋" w:eastAsia="仿宋" w:cs="Times New Roman"/>
          <w:sz w:val="32"/>
          <w:szCs w:val="32"/>
        </w:rPr>
        <w:t>年预算增加</w:t>
      </w:r>
      <w:r>
        <w:rPr>
          <w:rFonts w:hint="eastAsia" w:ascii="仿宋" w:hAnsi="仿宋" w:eastAsia="仿宋" w:cs="Times New Roman"/>
          <w:sz w:val="32"/>
          <w:szCs w:val="32"/>
        </w:rPr>
        <w:t>3801.36</w:t>
      </w:r>
      <w:r>
        <w:rPr>
          <w:rFonts w:ascii="仿宋" w:hAnsi="仿宋" w:eastAsia="仿宋" w:cs="Times New Roman"/>
          <w:sz w:val="32"/>
          <w:szCs w:val="32"/>
        </w:rPr>
        <w:t>万元，其中：基本支出</w:t>
      </w:r>
      <w:r>
        <w:rPr>
          <w:rFonts w:hint="eastAsia" w:ascii="仿宋" w:hAnsi="仿宋" w:eastAsia="仿宋" w:cs="Times New Roman"/>
          <w:sz w:val="32"/>
          <w:szCs w:val="32"/>
        </w:rPr>
        <w:t>减少192.07</w:t>
      </w:r>
      <w:r>
        <w:rPr>
          <w:rFonts w:ascii="仿宋" w:hAnsi="仿宋" w:eastAsia="仿宋" w:cs="Times New Roman"/>
          <w:sz w:val="32"/>
          <w:szCs w:val="32"/>
        </w:rPr>
        <w:t>万元，主要为</w:t>
      </w:r>
      <w:r>
        <w:rPr>
          <w:rFonts w:hint="eastAsia" w:ascii="仿宋" w:hAnsi="仿宋" w:eastAsia="仿宋" w:cs="Times New Roman"/>
          <w:sz w:val="32"/>
          <w:szCs w:val="32"/>
        </w:rPr>
        <w:t>人员</w:t>
      </w:r>
      <w:r>
        <w:rPr>
          <w:rFonts w:ascii="仿宋" w:hAnsi="仿宋" w:eastAsia="仿宋" w:cs="Times New Roman"/>
          <w:sz w:val="32"/>
          <w:szCs w:val="32"/>
        </w:rPr>
        <w:t>支出</w:t>
      </w:r>
      <w:r>
        <w:rPr>
          <w:rFonts w:hint="eastAsia" w:ascii="仿宋" w:hAnsi="仿宋" w:eastAsia="仿宋" w:cs="Times New Roman"/>
          <w:sz w:val="32"/>
          <w:szCs w:val="32"/>
        </w:rPr>
        <w:t>和日常公用经费支出</w:t>
      </w:r>
      <w:r>
        <w:rPr>
          <w:rFonts w:ascii="仿宋" w:hAnsi="仿宋" w:eastAsia="仿宋" w:cs="Times New Roman"/>
          <w:sz w:val="32"/>
          <w:szCs w:val="32"/>
        </w:rPr>
        <w:t>；项目支出增加</w:t>
      </w:r>
      <w:r>
        <w:rPr>
          <w:rFonts w:hint="eastAsia" w:ascii="仿宋" w:hAnsi="仿宋" w:eastAsia="仿宋" w:cs="Times New Roman"/>
          <w:sz w:val="32"/>
          <w:szCs w:val="32"/>
        </w:rPr>
        <w:t>3803.74</w:t>
      </w:r>
      <w:r>
        <w:rPr>
          <w:rFonts w:ascii="仿宋" w:hAnsi="仿宋" w:eastAsia="仿宋" w:cs="Times New Roman"/>
          <w:sz w:val="32"/>
          <w:szCs w:val="32"/>
        </w:rPr>
        <w:t>万元，主要为</w:t>
      </w:r>
      <w:r>
        <w:rPr>
          <w:rFonts w:hint="eastAsia" w:ascii="仿宋" w:hAnsi="仿宋" w:eastAsia="仿宋" w:cs="Times New Roman"/>
          <w:sz w:val="32"/>
          <w:szCs w:val="32"/>
        </w:rPr>
        <w:t>商业系统改制、采暖季洁净煤补贴等</w:t>
      </w:r>
      <w:r>
        <w:rPr>
          <w:rFonts w:ascii="仿宋" w:hAnsi="仿宋" w:eastAsia="仿宋" w:cs="Times New Roman"/>
          <w:sz w:val="32"/>
          <w:szCs w:val="32"/>
        </w:rPr>
        <w:t>项目支出。</w:t>
      </w:r>
    </w:p>
    <w:p>
      <w:pPr>
        <w:spacing w:line="584" w:lineRule="exact"/>
        <w:ind w:firstLine="640"/>
        <w:rPr>
          <w:rFonts w:ascii="仿宋" w:hAnsi="仿宋" w:eastAsia="仿宋" w:cs="Times New Roman"/>
          <w:sz w:val="32"/>
          <w:szCs w:val="32"/>
        </w:rPr>
      </w:pPr>
      <w:r>
        <w:rPr>
          <w:rFonts w:ascii="楷体" w:hAnsi="楷体" w:eastAsia="楷体" w:cs="Times New Roman"/>
          <w:b/>
          <w:sz w:val="32"/>
          <w:szCs w:val="32"/>
        </w:rPr>
        <w:t>三、机关运行经费安排情况</w:t>
      </w:r>
    </w:p>
    <w:p>
      <w:pPr>
        <w:autoSpaceDE w:val="0"/>
        <w:autoSpaceDN w:val="0"/>
        <w:adjustRightInd w:val="0"/>
        <w:spacing w:line="584" w:lineRule="exact"/>
        <w:ind w:left="198" w:firstLine="640" w:firstLineChars="200"/>
        <w:jc w:val="left"/>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年，我</w:t>
      </w:r>
      <w:r>
        <w:rPr>
          <w:rFonts w:hint="eastAsia" w:ascii="仿宋" w:hAnsi="仿宋" w:eastAsia="仿宋" w:cs="Times New Roman"/>
          <w:sz w:val="32"/>
          <w:szCs w:val="32"/>
        </w:rPr>
        <w:t>部门</w:t>
      </w:r>
      <w:r>
        <w:rPr>
          <w:rFonts w:ascii="仿宋" w:hAnsi="仿宋" w:eastAsia="仿宋" w:cs="Times New Roman"/>
          <w:sz w:val="32"/>
          <w:szCs w:val="32"/>
        </w:rPr>
        <w:t>机关运行经费共计安排</w:t>
      </w:r>
      <w:r>
        <w:rPr>
          <w:rFonts w:hint="eastAsia" w:ascii="仿宋" w:hAnsi="仿宋" w:eastAsia="仿宋" w:cs="Times New Roman"/>
          <w:sz w:val="32"/>
          <w:szCs w:val="32"/>
        </w:rPr>
        <w:t>89.3</w:t>
      </w:r>
      <w:r>
        <w:rPr>
          <w:rFonts w:ascii="仿宋" w:hAnsi="仿宋" w:eastAsia="仿宋" w:cs="Times New Roman"/>
          <w:sz w:val="32"/>
          <w:szCs w:val="32"/>
        </w:rPr>
        <w:t>万元，主要用于办公费</w:t>
      </w:r>
      <w:r>
        <w:rPr>
          <w:rFonts w:hint="eastAsia" w:ascii="仿宋" w:hAnsi="仿宋" w:eastAsia="仿宋" w:cs="Times New Roman"/>
          <w:sz w:val="32"/>
          <w:szCs w:val="32"/>
        </w:rPr>
        <w:t>公务交通补贴</w:t>
      </w:r>
      <w:r>
        <w:rPr>
          <w:rFonts w:ascii="仿宋" w:hAnsi="仿宋" w:eastAsia="仿宋" w:cs="Times New Roman"/>
          <w:sz w:val="32"/>
          <w:szCs w:val="32"/>
        </w:rPr>
        <w:t>等日常运行支出。</w:t>
      </w:r>
    </w:p>
    <w:p>
      <w:pPr>
        <w:autoSpaceDE w:val="0"/>
        <w:autoSpaceDN w:val="0"/>
        <w:adjustRightInd w:val="0"/>
        <w:spacing w:line="584" w:lineRule="exact"/>
        <w:jc w:val="left"/>
        <w:rPr>
          <w:rFonts w:ascii="楷体" w:hAnsi="楷体" w:eastAsia="楷体" w:cs="Times New Roman"/>
          <w:b/>
          <w:sz w:val="32"/>
          <w:szCs w:val="32"/>
        </w:rPr>
      </w:pPr>
      <w:r>
        <w:rPr>
          <w:rFonts w:hint="eastAsia" w:ascii="楷体" w:hAnsi="楷体" w:eastAsia="楷体" w:cs="Times New Roman"/>
          <w:b/>
          <w:sz w:val="32"/>
          <w:szCs w:val="32"/>
        </w:rPr>
        <w:t xml:space="preserve">    </w:t>
      </w:r>
      <w:r>
        <w:rPr>
          <w:rFonts w:ascii="楷体" w:hAnsi="楷体" w:eastAsia="楷体"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年，我局财政拨款“三公”经费预算安排</w:t>
      </w:r>
      <w:r>
        <w:rPr>
          <w:rFonts w:hint="eastAsia" w:ascii="仿宋" w:hAnsi="仿宋" w:eastAsia="仿宋" w:cs="Times New Roman"/>
          <w:sz w:val="32"/>
          <w:szCs w:val="32"/>
        </w:rPr>
        <w:t>7.2</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其中</w:t>
      </w:r>
      <w:r>
        <w:rPr>
          <w:rFonts w:hint="eastAsia" w:ascii="仿宋" w:hAnsi="仿宋" w:eastAsia="仿宋" w:cs="Times New Roman"/>
          <w:sz w:val="32"/>
          <w:szCs w:val="32"/>
        </w:rPr>
        <w:t>，</w:t>
      </w:r>
      <w:r>
        <w:rPr>
          <w:rFonts w:ascii="仿宋" w:hAnsi="仿宋" w:eastAsia="仿宋" w:cs="Times New Roman"/>
          <w:sz w:val="32"/>
          <w:szCs w:val="32"/>
        </w:rPr>
        <w:t>因公出国（境）费</w:t>
      </w:r>
      <w:r>
        <w:rPr>
          <w:rFonts w:hint="eastAsia" w:ascii="仿宋" w:hAnsi="仿宋" w:eastAsia="仿宋" w:cs="Times New Roman"/>
          <w:sz w:val="32"/>
          <w:szCs w:val="32"/>
        </w:rPr>
        <w:t>0</w:t>
      </w:r>
      <w:r>
        <w:rPr>
          <w:rFonts w:ascii="仿宋" w:hAnsi="仿宋" w:eastAsia="仿宋" w:cs="Times New Roman"/>
          <w:sz w:val="32"/>
          <w:szCs w:val="32"/>
        </w:rPr>
        <w:t>万元；公务用车购置及运维费</w:t>
      </w:r>
      <w:r>
        <w:rPr>
          <w:rFonts w:hint="eastAsia" w:ascii="仿宋" w:hAnsi="仿宋" w:eastAsia="仿宋" w:cs="Times New Roman"/>
          <w:sz w:val="32"/>
          <w:szCs w:val="32"/>
        </w:rPr>
        <w:t>7.2</w:t>
      </w:r>
      <w:r>
        <w:rPr>
          <w:rFonts w:ascii="仿宋" w:hAnsi="仿宋" w:eastAsia="仿宋" w:cs="Times New Roman"/>
          <w:sz w:val="32"/>
          <w:szCs w:val="32"/>
        </w:rPr>
        <w:t>万元（其中：公务用车购置费为</w:t>
      </w:r>
      <w:r>
        <w:rPr>
          <w:rFonts w:hint="eastAsia" w:ascii="仿宋" w:hAnsi="仿宋" w:eastAsia="仿宋" w:cs="Times New Roman"/>
          <w:sz w:val="32"/>
          <w:szCs w:val="32"/>
        </w:rPr>
        <w:t>0</w:t>
      </w:r>
      <w:r>
        <w:rPr>
          <w:rFonts w:ascii="仿宋" w:hAnsi="仿宋" w:eastAsia="仿宋" w:cs="Times New Roman"/>
          <w:sz w:val="32"/>
          <w:szCs w:val="32"/>
        </w:rPr>
        <w:t>万元，公务用车运维费</w:t>
      </w:r>
      <w:r>
        <w:rPr>
          <w:rFonts w:hint="eastAsia" w:ascii="仿宋" w:hAnsi="仿宋" w:eastAsia="仿宋" w:cs="Times New Roman"/>
          <w:sz w:val="32"/>
          <w:szCs w:val="32"/>
        </w:rPr>
        <w:t>0</w:t>
      </w:r>
      <w:r>
        <w:rPr>
          <w:rFonts w:ascii="仿宋" w:hAnsi="仿宋" w:eastAsia="仿宋" w:cs="Times New Roman"/>
          <w:sz w:val="32"/>
          <w:szCs w:val="32"/>
        </w:rPr>
        <w:t>万元)；公务接待费</w:t>
      </w:r>
      <w:r>
        <w:rPr>
          <w:rFonts w:hint="eastAsia" w:ascii="仿宋" w:hAnsi="仿宋" w:eastAsia="仿宋" w:cs="Times New Roman"/>
          <w:sz w:val="32"/>
          <w:szCs w:val="32"/>
        </w:rPr>
        <w:t>0</w:t>
      </w:r>
      <w:r>
        <w:rPr>
          <w:rFonts w:ascii="仿宋" w:hAnsi="仿宋" w:eastAsia="仿宋" w:cs="Times New Roman"/>
          <w:sz w:val="32"/>
          <w:szCs w:val="32"/>
        </w:rPr>
        <w:t>万元。与20</w:t>
      </w:r>
      <w:r>
        <w:rPr>
          <w:rFonts w:hint="eastAsia" w:ascii="仿宋" w:hAnsi="仿宋" w:eastAsia="仿宋" w:cs="Times New Roman"/>
          <w:sz w:val="32"/>
          <w:szCs w:val="32"/>
        </w:rPr>
        <w:t>20</w:t>
      </w:r>
      <w:r>
        <w:rPr>
          <w:rFonts w:ascii="仿宋" w:hAnsi="仿宋" w:eastAsia="仿宋" w:cs="Times New Roman"/>
          <w:sz w:val="32"/>
          <w:szCs w:val="32"/>
        </w:rPr>
        <w:t>年</w:t>
      </w:r>
      <w:r>
        <w:rPr>
          <w:rFonts w:hint="eastAsia" w:ascii="仿宋" w:hAnsi="仿宋" w:eastAsia="仿宋" w:cs="Times New Roman"/>
          <w:sz w:val="32"/>
          <w:szCs w:val="32"/>
        </w:rPr>
        <w:t>相比减少0.4</w:t>
      </w:r>
      <w:r>
        <w:rPr>
          <w:rFonts w:ascii="仿宋" w:hAnsi="仿宋" w:eastAsia="仿宋" w:cs="Times New Roman"/>
          <w:sz w:val="32"/>
          <w:szCs w:val="32"/>
        </w:rPr>
        <w:t>万元，</w:t>
      </w:r>
      <w:r>
        <w:rPr>
          <w:rFonts w:hint="eastAsia" w:ascii="仿宋" w:hAnsi="仿宋" w:eastAsia="仿宋" w:cs="Times New Roman"/>
          <w:sz w:val="32"/>
          <w:szCs w:val="32"/>
        </w:rPr>
        <w:t>其中，</w:t>
      </w:r>
      <w:r>
        <w:rPr>
          <w:rFonts w:ascii="仿宋" w:hAnsi="仿宋" w:eastAsia="仿宋" w:cs="Times New Roman"/>
          <w:sz w:val="32"/>
          <w:szCs w:val="32"/>
        </w:rPr>
        <w:t>公务用车购置及运维费</w:t>
      </w:r>
      <w:r>
        <w:rPr>
          <w:rFonts w:hint="eastAsia" w:ascii="仿宋" w:hAnsi="仿宋" w:eastAsia="仿宋" w:cs="Times New Roman"/>
          <w:sz w:val="32"/>
          <w:szCs w:val="32"/>
        </w:rPr>
        <w:t>减少0.4</w:t>
      </w:r>
      <w:r>
        <w:rPr>
          <w:rFonts w:ascii="仿宋" w:hAnsi="仿宋" w:eastAsia="仿宋" w:cs="Times New Roman"/>
          <w:sz w:val="32"/>
          <w:szCs w:val="32"/>
        </w:rPr>
        <w:t>万元（其中：公务用车购置费</w:t>
      </w:r>
      <w:r>
        <w:rPr>
          <w:rFonts w:hint="eastAsia" w:ascii="仿宋" w:hAnsi="仿宋" w:eastAsia="仿宋" w:cs="Times New Roman"/>
          <w:sz w:val="32"/>
          <w:szCs w:val="32"/>
        </w:rPr>
        <w:t>0</w:t>
      </w:r>
      <w:r>
        <w:rPr>
          <w:rFonts w:ascii="仿宋" w:hAnsi="仿宋" w:eastAsia="仿宋" w:cs="Times New Roman"/>
          <w:sz w:val="32"/>
          <w:szCs w:val="32"/>
        </w:rPr>
        <w:t>万元，公务用车运维费</w:t>
      </w:r>
      <w:r>
        <w:rPr>
          <w:rFonts w:hint="eastAsia" w:ascii="仿宋" w:hAnsi="仿宋" w:eastAsia="仿宋" w:cs="Times New Roman"/>
          <w:sz w:val="32"/>
          <w:szCs w:val="32"/>
        </w:rPr>
        <w:t>减少0.4</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主要原因是</w:t>
      </w:r>
      <w:r>
        <w:rPr>
          <w:rFonts w:hint="eastAsia" w:ascii="仿宋" w:hAnsi="仿宋" w:eastAsia="仿宋" w:cs="Times New Roman"/>
          <w:sz w:val="32"/>
          <w:szCs w:val="32"/>
        </w:rPr>
        <w:t>我部门切实落实勤俭节约各项规定，压减公车运行经费支出</w:t>
      </w:r>
      <w:r>
        <w:rPr>
          <w:rFonts w:ascii="仿宋" w:hAnsi="仿宋" w:eastAsia="仿宋" w:cs="Times New Roman"/>
          <w:sz w:val="32"/>
          <w:szCs w:val="32"/>
        </w:rPr>
        <w:t>；公务接待费</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w:t>
      </w:r>
      <w:r>
        <w:rPr>
          <w:rFonts w:ascii="仿宋" w:hAnsi="仿宋" w:eastAsia="仿宋" w:cs="Times New Roman"/>
          <w:sz w:val="32"/>
          <w:szCs w:val="32"/>
        </w:rPr>
        <w:t>与20</w:t>
      </w:r>
      <w:r>
        <w:rPr>
          <w:rFonts w:hint="eastAsia" w:ascii="仿宋" w:hAnsi="仿宋" w:eastAsia="仿宋" w:cs="Times New Roman"/>
          <w:sz w:val="32"/>
          <w:szCs w:val="32"/>
        </w:rPr>
        <w:t>20</w:t>
      </w:r>
      <w:r>
        <w:rPr>
          <w:rFonts w:ascii="仿宋" w:hAnsi="仿宋" w:eastAsia="仿宋" w:cs="Times New Roman"/>
          <w:sz w:val="32"/>
          <w:szCs w:val="32"/>
        </w:rPr>
        <w:t>年相比持平，无增减变化。</w:t>
      </w:r>
    </w:p>
    <w:p>
      <w:pPr>
        <w:autoSpaceDE w:val="0"/>
        <w:autoSpaceDN w:val="0"/>
        <w:adjustRightInd w:val="0"/>
        <w:spacing w:line="584" w:lineRule="exact"/>
        <w:ind w:firstLine="630" w:firstLineChars="196"/>
        <w:jc w:val="left"/>
        <w:rPr>
          <w:rFonts w:ascii="楷体" w:hAnsi="楷体" w:eastAsia="楷体" w:cs="Times New Roman"/>
          <w:b/>
          <w:sz w:val="32"/>
          <w:szCs w:val="32"/>
        </w:rPr>
      </w:pPr>
      <w:r>
        <w:rPr>
          <w:rFonts w:ascii="楷体" w:hAnsi="楷体" w:eastAsia="楷体" w:cs="Times New Roman"/>
          <w:b/>
          <w:sz w:val="32"/>
          <w:szCs w:val="32"/>
        </w:rPr>
        <w:t>五、绩效预算信息</w:t>
      </w:r>
      <w:r>
        <w:rPr>
          <w:rFonts w:hint="eastAsia" w:ascii="楷体" w:hAnsi="楷体" w:eastAsia="楷体" w:cs="Times New Roman"/>
          <w:b/>
          <w:sz w:val="32"/>
          <w:szCs w:val="32"/>
        </w:rPr>
        <w:t>（与部门绩效文本内容保持一致）</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第一部分 部门整体绩效目标</w:t>
      </w:r>
    </w:p>
    <w:p>
      <w:pPr>
        <w:spacing w:line="584"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（一）总体绩效目标</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在县委、政府的正确领导下，围绕20</w:t>
      </w:r>
      <w:r>
        <w:rPr>
          <w:rFonts w:hint="eastAsia" w:ascii="仿宋" w:hAnsi="仿宋" w:eastAsia="仿宋" w:cs="Times New Roman"/>
          <w:sz w:val="32"/>
          <w:szCs w:val="32"/>
        </w:rPr>
        <w:t>21</w:t>
      </w:r>
      <w:r>
        <w:rPr>
          <w:rFonts w:ascii="仿宋" w:hAnsi="仿宋" w:eastAsia="仿宋" w:cs="Times New Roman"/>
          <w:sz w:val="32"/>
          <w:szCs w:val="32"/>
        </w:rPr>
        <w:t>年工作重点和奋斗目标，我局全体干部职工脚踏实地，充分发挥职能作用，找准位置，服务大局，当好领导的参谋和助手，各项工作都圆满完成。现将202</w:t>
      </w:r>
      <w:r>
        <w:rPr>
          <w:rFonts w:hint="eastAsia" w:ascii="仿宋" w:hAnsi="仿宋" w:eastAsia="仿宋" w:cs="Times New Roman"/>
          <w:sz w:val="32"/>
          <w:szCs w:val="32"/>
        </w:rPr>
        <w:t>1</w:t>
      </w:r>
      <w:r>
        <w:rPr>
          <w:rFonts w:ascii="仿宋" w:hAnsi="仿宋" w:eastAsia="仿宋" w:cs="Times New Roman"/>
          <w:sz w:val="32"/>
          <w:szCs w:val="32"/>
        </w:rPr>
        <w:t>年工作开展情况汇报如下：</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按照省委、省政府的统一部署，为贯彻落实好党的十九大精神，我单位成立专组，开展了“双创双服”；202</w:t>
      </w:r>
      <w:r>
        <w:rPr>
          <w:rFonts w:hint="eastAsia" w:ascii="仿宋" w:hAnsi="仿宋" w:eastAsia="仿宋" w:cs="Times New Roman"/>
          <w:sz w:val="32"/>
          <w:szCs w:val="32"/>
        </w:rPr>
        <w:t>1</w:t>
      </w:r>
      <w:r>
        <w:rPr>
          <w:rFonts w:ascii="仿宋" w:hAnsi="仿宋" w:eastAsia="仿宋" w:cs="Times New Roman"/>
          <w:sz w:val="32"/>
          <w:szCs w:val="32"/>
        </w:rPr>
        <w:t>年进入“三深化三提升”阶段。</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2、</w:t>
      </w:r>
      <w:r>
        <w:rPr>
          <w:rFonts w:ascii="仿宋" w:hAnsi="仿宋" w:eastAsia="仿宋" w:cs="Times New Roman"/>
          <w:sz w:val="32"/>
          <w:szCs w:val="32"/>
        </w:rPr>
        <w:t>为全面贯彻落实党的十九大、十九届二中全会、三中全会，深入推进《京津冀协同发展规划纲要》，全面对接雄安新区高端高新产业，启动编制《文安县产业发展规划》编制工作，成立了文安县推进京津冀协同发展领导小组。</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3、</w:t>
      </w:r>
      <w:r>
        <w:rPr>
          <w:rFonts w:ascii="仿宋" w:hAnsi="仿宋" w:eastAsia="仿宋" w:cs="Times New Roman"/>
          <w:sz w:val="32"/>
          <w:szCs w:val="32"/>
        </w:rPr>
        <w:t>“十四五”是我国开启全面建设社会主义现代化国家新征程、全面推动高质量发展的第一个五年规划，我县拟启动编制实施</w:t>
      </w:r>
      <w:bookmarkStart w:id="23" w:name="_GoBack"/>
      <w:r>
        <w:rPr>
          <w:rFonts w:hint="eastAsia" w:ascii="仿宋" w:hAnsi="仿宋" w:eastAsia="仿宋" w:cs="Times New Roman"/>
          <w:sz w:val="32"/>
          <w:szCs w:val="32"/>
          <w:lang w:eastAsia="zh-CN"/>
        </w:rPr>
        <w:t>“十四五”规划</w:t>
      </w:r>
      <w:bookmarkEnd w:id="23"/>
      <w:r>
        <w:rPr>
          <w:rFonts w:ascii="仿宋" w:hAnsi="仿宋" w:eastAsia="仿宋" w:cs="Times New Roman"/>
          <w:sz w:val="32"/>
          <w:szCs w:val="32"/>
        </w:rPr>
        <w:t>。</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4、</w:t>
      </w:r>
      <w:r>
        <w:rPr>
          <w:rFonts w:ascii="仿宋" w:hAnsi="仿宋" w:eastAsia="仿宋" w:cs="Times New Roman"/>
          <w:sz w:val="32"/>
          <w:szCs w:val="32"/>
        </w:rPr>
        <w:t>中共中央、国务院发布了《关于建立空间规划体系并监督实施的若干意见》，发改局负责指导国土空间规划编制，重点衔接发展规划、十三五规划相关内容，提供县域相关项目资料，组织相关专题研究工作。</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5、</w:t>
      </w:r>
      <w:r>
        <w:rPr>
          <w:rFonts w:ascii="仿宋" w:hAnsi="仿宋" w:eastAsia="仿宋" w:cs="Times New Roman"/>
          <w:sz w:val="32"/>
          <w:szCs w:val="32"/>
        </w:rPr>
        <w:t>推动开放引资提质增效，精准定位招商产业，科学确定招商目标，精心搭建对接平台，推动精准对接，提高招商实效。</w:t>
      </w:r>
    </w:p>
    <w:p>
      <w:pPr>
        <w:autoSpaceDE w:val="0"/>
        <w:autoSpaceDN w:val="0"/>
        <w:adjustRightInd w:val="0"/>
        <w:spacing w:line="584" w:lineRule="exact"/>
        <w:ind w:left="197" w:leftChars="94"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6、</w:t>
      </w:r>
      <w:r>
        <w:rPr>
          <w:rFonts w:ascii="仿宋" w:hAnsi="仿宋" w:eastAsia="仿宋" w:cs="Times New Roman"/>
          <w:sz w:val="32"/>
          <w:szCs w:val="32"/>
        </w:rPr>
        <w:t>加强粮食管理执法监管力量，确保粮食安全。为全面了解全县经济发展态势，掌握各区域、各行业的发展现状，我们坚持深入基层、深入企业，针对经济运行状况、特点和存在的问题，以及国家宏观经济政策对县域经济的影响，广泛开展调研活动，对全县经济运行情况的进行充分了解、全面分析，为领导决策提供可靠依据。充分发挥职能作用，进一步强化工作人员的效能意识，发扬“求真、实干、创新”的工作作风，为圆满完成全年计划目标，为县域经济的发展和谋划发挥更大的作用！</w:t>
      </w:r>
    </w:p>
    <w:p>
      <w:pPr>
        <w:spacing w:line="584"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（二）分项绩效目标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原商业总公司机关人员养老保险经费纳入预算管理项目，用于解决原县商业总公司24名人员养老保险问题，一直缴到该24名人员全部退休结束。在项目实施过程发改局单位主要承担该资金申请职责，开展拨付养老保险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绩效目标：通过按时足额缴纳养老保险，保障全体职工享受合法权益。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绩效指标：通过项目的开展完成，实现21人足额足月缴纳养老保险金。</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安排涉案物品价格鉴证项目，用于涉案物品价格的鉴证费用，项目每年都实施。在项目实施过程中发改局鉴证中心主要承担涉案物品价格鉴证职责，开展涉案物品价格鉴证工作。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通过项目的开展实现对纪检监察，司法、行政工作中涉及的价格不明或价格有争议的，实行市场调节的有形产品、无形资产和各类有偿服务所进行的价格确认，对纪检监察、司法和行政机关有关工作起着重要的支持和保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绩效指标：立案查处案件数量占接案数量的80%以上。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本项目主要解决粮食企业改制过程中遗留问题资金，确保职工保险等基本保障的达成。</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绩效目标：通过项目的开展，按时拨付欠缴工资，保障职工的合法权益不受损。</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绩效指标：拨付经审核符合领取社会保险补贴条件的各类人员社会保险补贴发放达到100%。</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4、</w:t>
      </w:r>
      <w:r>
        <w:rPr>
          <w:rFonts w:ascii="仿宋" w:hAnsi="仿宋" w:eastAsia="仿宋"/>
          <w:sz w:val="32"/>
          <w:szCs w:val="32"/>
        </w:rPr>
        <w:t>安排原商务局原执法队遗留问题化解所需资金项目，原计划三年付清，已付三年，余28.57万元未付。用于支付原商务局原执法队遗留问题化解。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绩效目标：通过项目的开展，按时拨付欠缴工资，保障职工的合法权益不受损。</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绩效指标：按时拨付，群众对提供各种政务等服务的满意度90%。</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5、</w:t>
      </w:r>
      <w:r>
        <w:rPr>
          <w:rFonts w:ascii="仿宋" w:hAnsi="仿宋" w:eastAsia="仿宋"/>
          <w:sz w:val="32"/>
          <w:szCs w:val="32"/>
        </w:rPr>
        <w:t>安排商业公司医保、工资项目，用于支付商业公司医保、工资，该项目每年都实施。在项目实施过程发改局主要承担申请资金职责，资金到位后一次性拨清。</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绩效目标：及时拨付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效果指标：确保原商业公司21名职工按时正常缴纳医保，发放工资，受益群众对提供各种政务等服务的满意度90%以上。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6、</w:t>
      </w:r>
      <w:r>
        <w:rPr>
          <w:rFonts w:ascii="仿宋" w:hAnsi="仿宋" w:eastAsia="仿宋"/>
          <w:sz w:val="32"/>
          <w:szCs w:val="32"/>
        </w:rPr>
        <w:t>安排文安县“双创双服”活动项目，用于开展文安县“双创双服”活动经费，该工作暂无结束计划。在项目实施过程发改局主要承担服务发展、民生，大众创业等职责，开展“双创双服”工作。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绩效目标：落实省市三深化、三提升活动，推动创新创业，服务发展服务民生，取得更大成效，加快推动我县高质量发展。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绩效指标：得以应用的研究成果数量占总成果数量的90%以上。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安排京津冀协调发展工作项目，用于开展京津冀协调发展工作，项目暂无结束计划。在项目实施过程发改局主要承担县推进京津冀协同发展工作领导工作，开展推进京津冀协同发展工作。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绩效指标：通过项目的开展本项目主要负责我县关于推进京津冀协同发展的重要部署，接轨雄安新区，为我县经济发展服务。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绩效指标：得以应用的研究成果数量占总成果数量的90%以上，被采纳的意见建议数量10次。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8、</w:t>
      </w:r>
      <w:r>
        <w:rPr>
          <w:rFonts w:ascii="仿宋" w:hAnsi="仿宋" w:eastAsia="仿宋"/>
          <w:sz w:val="32"/>
          <w:szCs w:val="32"/>
        </w:rPr>
        <w:t>安排招商服务中心工作经费项目，用于招商中心工作推进，项目暂无结束计划。在项目实施过程发改局招商中心主要承担招商引资职责，开展招商引资工作。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绩效目标：通过项目的开展更好推动全县招商引资工作。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效果指标：本年度利用外资总额比上年增长6%。</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9、</w:t>
      </w:r>
      <w:r>
        <w:rPr>
          <w:rFonts w:ascii="仿宋" w:hAnsi="仿宋" w:eastAsia="仿宋"/>
          <w:sz w:val="32"/>
          <w:szCs w:val="32"/>
        </w:rPr>
        <w:t>安排采购防汛应急物资项目，用于我县汛期所需物资保障。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绩效目标：确保物资充足，汛期无人员伤亡，安全度汛。</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绩效指标：购置质量合格的数量占总量的99%，汛期无人员伤亡。</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 xml:space="preserve">安排县级粮食质量检查站建设项目，用于粮食检测工作，项目预计2021年结束。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绩效目标：对粮食收获、储存、加工、流通各个环节共计100个样品的抽检，提升粮食质量安全监测水平，保障广大人民群众“舌尖上的安全”的目标实现。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绩效指标：调查中使用人员满意和比较满意占总人数的90%。</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安排十四五规划编制工作，用于编制我县十四五规划编制工作，项目预计2025年结束。在项目实施过程中发改局主要承担聘请、协助第三方组织实施规划编制工作，开展编制规划工作。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绩效目标：通过项目的开展完成十四五规划编制工作，实现社会主义现代化建设良好开局，开创新时代全面建设经济强县美丽文安新局面。</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绩效指标：完成调研报告数量10篇。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安排重大项目咨询评估服务费项目，用于重大项目咨询评估，该项目暂无结束计划。</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绩效目标：开展本项目主要解决行政机关委托开展的评估评审等中介服务，要通过竞争方式选择中介机构，一律由行政机关支付服务费用并纳入部门预算。确保重大项目评估的顺利开展。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绩效指标：调查中使用人员满意和比较满意占总人数的90%。</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安排成本监审第三方服务项目，用于成本监审第三方服务，项目该暂无结束计划。在项目实施过程中发改局主要承担聘请协助第三方做成本监审工作。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绩效目标：通过项目的开展对我县202</w:t>
      </w:r>
      <w:r>
        <w:rPr>
          <w:rFonts w:hint="eastAsia" w:ascii="仿宋" w:hAnsi="仿宋" w:eastAsia="仿宋"/>
          <w:sz w:val="32"/>
          <w:szCs w:val="32"/>
        </w:rPr>
        <w:t>1</w:t>
      </w:r>
      <w:r>
        <w:rPr>
          <w:rFonts w:ascii="仿宋" w:hAnsi="仿宋" w:eastAsia="仿宋"/>
          <w:sz w:val="32"/>
          <w:szCs w:val="32"/>
        </w:rPr>
        <w:t>年自来水、天然气进行4次价格调控监审。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绩效指标：调查中受益群众满意和比较满意占总人数的90%。</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14、</w:t>
      </w:r>
      <w:r>
        <w:rPr>
          <w:rFonts w:ascii="仿宋" w:hAnsi="仿宋" w:eastAsia="仿宋"/>
          <w:sz w:val="32"/>
          <w:szCs w:val="32"/>
        </w:rPr>
        <w:t>安排粮食行政执法项目，用于粮食行政执法经费，该项目暂无结束计划。在项目实施过程发改局主要承担粮食执法监督职责，开展粮食执法工作。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绩效目标：通过该工作的开展对我县近20家粮食经营企业进行检查。</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绩效指标：调查中受益群众满意和比较满意占总人数的90%。</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15、</w:t>
      </w:r>
      <w:r>
        <w:rPr>
          <w:rFonts w:ascii="仿宋" w:hAnsi="仿宋" w:eastAsia="仿宋"/>
          <w:sz w:val="32"/>
          <w:szCs w:val="32"/>
        </w:rPr>
        <w:t>安排</w:t>
      </w:r>
      <w:r>
        <w:rPr>
          <w:rFonts w:hint="eastAsia" w:ascii="仿宋" w:hAnsi="仿宋" w:eastAsia="仿宋"/>
          <w:sz w:val="32"/>
          <w:szCs w:val="32"/>
        </w:rPr>
        <w:t>文安县</w:t>
      </w:r>
      <w:r>
        <w:rPr>
          <w:rFonts w:ascii="仿宋" w:hAnsi="仿宋" w:eastAsia="仿宋"/>
          <w:sz w:val="32"/>
          <w:szCs w:val="32"/>
        </w:rPr>
        <w:t>重点燃气企业奖补金项目，用于奖励重点燃气企业</w:t>
      </w:r>
      <w:r>
        <w:rPr>
          <w:rFonts w:hint="eastAsia" w:ascii="仿宋" w:hAnsi="仿宋" w:eastAsia="仿宋"/>
          <w:sz w:val="32"/>
          <w:szCs w:val="32"/>
        </w:rPr>
        <w:t>。</w:t>
      </w:r>
      <w:r>
        <w:rPr>
          <w:rFonts w:ascii="仿宋" w:hAnsi="仿宋" w:eastAsia="仿宋"/>
          <w:sz w:val="32"/>
          <w:szCs w:val="32"/>
        </w:rPr>
        <w:t>在项目实施过程中发改局单位主要承担天然气安全稳定供应，提高气源保障能力职责，开展激励资金拨付工作。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绩效目标：开展本项目主要为确保我</w:t>
      </w:r>
      <w:r>
        <w:rPr>
          <w:rFonts w:hint="eastAsia" w:ascii="仿宋" w:hAnsi="仿宋" w:eastAsia="仿宋"/>
          <w:sz w:val="32"/>
          <w:szCs w:val="32"/>
        </w:rPr>
        <w:t>县</w:t>
      </w:r>
      <w:r>
        <w:rPr>
          <w:rFonts w:ascii="仿宋" w:hAnsi="仿宋" w:eastAsia="仿宋"/>
          <w:sz w:val="32"/>
          <w:szCs w:val="32"/>
        </w:rPr>
        <w:t>天然气安全稳定供应，提高气源保障能力，减轻燃气企业购买LNG、CNG的资金负担。</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绩效指标：调查中受益群众满意和比较满意占总人数的90%。</w:t>
      </w:r>
    </w:p>
    <w:p>
      <w:pPr>
        <w:spacing w:line="584"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（三）工作保障措施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加强队伍建设，提高业务素质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坚持高标准、严要求，对全局干部职工进行政治理论和业务知识的培训，并把学习与实际工作有机结合。通过学习，提高了全体干部职工增强与时俱进扎实工作的信心和决心，增强了干部职工对工作的责任感和使命感，切实从根本上转变了工作作风和思想作风，提高了办事效率，为全县的经济发展作出了应有的贡献。</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发挥职能作用，确保目标落实</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我局作为政府的经济综合部门，以招商引资、项目突破带动经济突破，以经济提速带动全面发展，推动了国民经济和社会事业协调健康发展。发挥职能作用，为项目建设搞好全方位、实用性服务，我们积极贯彻执行上级有关招商引资、项目工作的政策法规，结合我县实际情况，开展做好我县招商引资、项目的审批、洽谈、引进、筛选、包装及推介工作。深入到基层，加强对项目工作的服务、检查、督导、评比的力度，掌握全县项目建设动态，切实解决项目建设工作中的实际问题，使全县项目工作蓬勃开展，对我县的经济建设起到极大的促进作用。为充分展示文安，推介文安，为企业搭建更加广阔的发展平台， 筹备“5.18”经洽会，把我县的签约项目、成果项目、发布项目精心筛选，努力将符合我县产业发展规划的大项目落到实处，争取达到可以签约的程度；将谋划规模大、吸引力强、有较高档次的项目列为发布项目，增加我县的项目总量，反映我县项目发展的成果和水平。</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3、</w:t>
      </w:r>
      <w:r>
        <w:rPr>
          <w:rFonts w:ascii="仿宋" w:hAnsi="仿宋" w:eastAsia="仿宋"/>
          <w:sz w:val="32"/>
          <w:szCs w:val="32"/>
        </w:rPr>
        <w:t>为全面了解全县经济发展态势，掌握各区域、各行业的发展现状，我们坚持深入基层、深入企业，针对经济运行状况、特点和存在的问题，以及国家宏观经济政策对县域经济的影响，广泛开展调研活动，对全县经济运行情况的进行充分了解、全面分析，为领导决策提供可靠依据。</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完善制度建设</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制定完善预算绩效管理制度、资金管理办法、工作保障制度，为全年预算绩效目标的实现奠定制度基础。</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加强支出管理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通过优化支出结构、编细编实预算、尽快启动项目、及时支付资金，确保支出进度达标。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加强绩效运行监控</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按要求开展绩效运行监控，发现问题及时采取措施，确保绩效目标如期保质实现。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做好绩效自评</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规范财务资产管理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完善财务管理制度，严格审批程序，加强固定资产登记、使用和报废处置管理，做到支出合理，物尽其用。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加强内部监督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加强内部监督制度建设，对绩效运行情况、重大支出决策、资产处置及其他重要经济业务事项的决策和执行进行督导，确保财政资金安全有效。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加强宣传培训调研</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加强人员培训，提高各部门干警业务素质；加强调研，提出优化财政资金配置、提高资金使用效益的意见；加大宣传力度，强化预算绩效管理意识，促进预算绩效管理水平进一步提升。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我们将按充分发挥职能作用，进一步强化工作人员的效能意识，发扬“求真、实干、创新”的工作作风，为圆满完成全年计划目标，为县域经济的发展和谋划发挥更大的作用！</w:t>
      </w:r>
    </w:p>
    <w:p>
      <w:pPr>
        <w:spacing w:line="584" w:lineRule="exact"/>
        <w:ind w:firstLine="640" w:firstLineChars="200"/>
        <w:rPr>
          <w:rFonts w:ascii="仿宋" w:hAnsi="仿宋" w:eastAsia="仿宋" w:cs="Times New Roman"/>
          <w:sz w:val="32"/>
          <w:szCs w:val="32"/>
        </w:rPr>
      </w:pP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第二部分 资金绩效目标</w:t>
      </w:r>
    </w:p>
    <w:p>
      <w:pPr>
        <w:spacing w:line="584" w:lineRule="exact"/>
        <w:ind w:firstLine="640" w:firstLineChars="200"/>
        <w:rPr>
          <w:rFonts w:ascii="仿宋" w:hAnsi="仿宋" w:eastAsia="仿宋" w:cs="Times New Roman"/>
          <w:sz w:val="32"/>
          <w:szCs w:val="32"/>
        </w:rPr>
      </w:pPr>
    </w:p>
    <w:p>
      <w:pPr>
        <w:spacing w:line="584" w:lineRule="exact"/>
        <w:ind w:firstLine="640" w:firstLineChars="200"/>
        <w:rPr>
          <w:rFonts w:ascii="仿宋" w:hAnsi="仿宋" w:eastAsia="仿宋" w:cs="Times New Roman"/>
          <w:sz w:val="32"/>
          <w:szCs w:val="32"/>
        </w:rPr>
      </w:pPr>
    </w:p>
    <w:p>
      <w:pPr>
        <w:spacing w:line="584" w:lineRule="exact"/>
        <w:ind w:firstLine="640" w:firstLineChars="200"/>
        <w:rPr>
          <w:rFonts w:ascii="仿宋" w:hAnsi="仿宋" w:eastAsia="仿宋" w:cs="Times New Roman"/>
          <w:sz w:val="32"/>
          <w:szCs w:val="32"/>
        </w:rPr>
      </w:pPr>
    </w:p>
    <w:p>
      <w:pPr>
        <w:spacing w:line="584" w:lineRule="exact"/>
        <w:ind w:firstLine="640" w:firstLineChars="200"/>
        <w:rPr>
          <w:rFonts w:ascii="仿宋" w:hAnsi="仿宋" w:eastAsia="仿宋" w:cs="Times New Roman"/>
          <w:sz w:val="32"/>
          <w:szCs w:val="32"/>
        </w:rPr>
      </w:pPr>
    </w:p>
    <w:p>
      <w:pPr>
        <w:spacing w:line="584" w:lineRule="exact"/>
        <w:ind w:firstLine="640" w:firstLineChars="200"/>
        <w:rPr>
          <w:rFonts w:ascii="仿宋" w:hAnsi="仿宋" w:eastAsia="仿宋" w:cs="Times New Roman"/>
          <w:sz w:val="32"/>
          <w:szCs w:val="32"/>
        </w:rPr>
      </w:pPr>
    </w:p>
    <w:p>
      <w:pPr>
        <w:spacing w:line="584" w:lineRule="exact"/>
        <w:ind w:firstLine="640" w:firstLineChars="200"/>
        <w:rPr>
          <w:rFonts w:ascii="仿宋" w:hAnsi="仿宋" w:eastAsia="仿宋" w:cs="Times New Roman"/>
          <w:sz w:val="32"/>
          <w:szCs w:val="32"/>
        </w:rPr>
      </w:pPr>
    </w:p>
    <w:p>
      <w:pPr>
        <w:spacing w:line="584" w:lineRule="exact"/>
        <w:ind w:firstLine="640" w:firstLineChars="200"/>
        <w:rPr>
          <w:rFonts w:ascii="仿宋" w:hAnsi="仿宋" w:eastAsia="仿宋" w:cs="Times New Roman"/>
          <w:sz w:val="32"/>
          <w:szCs w:val="32"/>
        </w:rPr>
      </w:pPr>
    </w:p>
    <w:p>
      <w:pPr>
        <w:ind w:firstLine="643" w:firstLineChars="200"/>
        <w:jc w:val="left"/>
        <w:outlineLvl w:val="3"/>
        <w:rPr>
          <w:rFonts w:ascii="仿宋" w:hAnsi="仿宋" w:eastAsia="仿宋"/>
          <w:b/>
          <w:sz w:val="32"/>
          <w:szCs w:val="32"/>
        </w:rPr>
      </w:pPr>
      <w:bookmarkStart w:id="0" w:name="_Toc67927844"/>
    </w:p>
    <w:p>
      <w:pPr>
        <w:ind w:firstLine="643" w:firstLineChars="200"/>
        <w:jc w:val="left"/>
        <w:outlineLvl w:val="3"/>
        <w:rPr>
          <w:rFonts w:ascii="仿宋" w:hAnsi="仿宋" w:eastAsia="仿宋"/>
          <w:b/>
          <w:sz w:val="32"/>
          <w:szCs w:val="32"/>
        </w:rPr>
      </w:pPr>
    </w:p>
    <w:p>
      <w:pPr>
        <w:ind w:firstLine="643" w:firstLineChars="200"/>
        <w:jc w:val="left"/>
        <w:outlineLvl w:val="3"/>
        <w:rPr>
          <w:rFonts w:ascii="仿宋" w:hAnsi="仿宋" w:eastAsia="仿宋"/>
          <w:b/>
          <w:sz w:val="32"/>
          <w:szCs w:val="32"/>
        </w:rPr>
      </w:pPr>
      <w:r>
        <w:rPr>
          <w:rFonts w:hint="eastAsia" w:ascii="仿宋" w:hAnsi="仿宋" w:eastAsia="仿宋"/>
          <w:b/>
          <w:sz w:val="32"/>
          <w:szCs w:val="32"/>
        </w:rPr>
        <w:t>1.商务局执法队人员经费绩效目标表</w:t>
      </w:r>
      <w:bookmarkEnd w:id="0"/>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1、商务局执法队人员经费绩效目标表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131026210Q5DD89NO6XXA</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商务局执法队人员经费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从</w:t>
            </w:r>
            <w:r>
              <w:rPr>
                <w:rFonts w:ascii="仿宋" w:hAnsi="仿宋" w:eastAsia="仿宋"/>
                <w:sz w:val="32"/>
                <w:szCs w:val="32"/>
              </w:rPr>
              <w:t>2018</w:t>
            </w:r>
            <w:r>
              <w:rPr>
                <w:rFonts w:hint="eastAsia" w:ascii="仿宋" w:hAnsi="仿宋" w:eastAsia="仿宋"/>
                <w:sz w:val="32"/>
                <w:szCs w:val="32"/>
              </w:rPr>
              <w:t>年开始安排原商务局原执法队遗留问题化解所需资金项目，三年付清，已付两年。用于支付原商务局原执法队遗留问题化解。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工资发放人数</w:t>
            </w:r>
            <w:r>
              <w:rPr>
                <w:rFonts w:ascii="仿宋" w:hAnsi="仿宋" w:eastAsia="仿宋"/>
                <w:sz w:val="32"/>
                <w:szCs w:val="32"/>
              </w:rPr>
              <w:t>18</w:t>
            </w:r>
            <w:r>
              <w:rPr>
                <w:rFonts w:hint="eastAsia" w:ascii="仿宋" w:hAnsi="仿宋" w:eastAsia="仿宋"/>
                <w:sz w:val="32"/>
                <w:szCs w:val="32"/>
              </w:rPr>
              <w:t>人</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资金发放到位率</w:t>
            </w:r>
            <w:r>
              <w:rPr>
                <w:rFonts w:ascii="仿宋" w:hAnsi="仿宋" w:eastAsia="仿宋"/>
                <w:sz w:val="32"/>
                <w:szCs w:val="32"/>
              </w:rPr>
              <w:t>99%</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群众满意度</w:t>
            </w:r>
            <w:r>
              <w:rPr>
                <w:rFonts w:ascii="仿宋" w:hAnsi="仿宋" w:eastAsia="仿宋"/>
                <w:sz w:val="32"/>
                <w:szCs w:val="32"/>
              </w:rPr>
              <w:t>100%</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工资发放人数</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工资发放人数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人</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工资政策落实率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资金发放到位率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工资待遇按时足额发放人数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人</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资金发放到位率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按要求完成的比例（百分比）</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99%</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社会稳定水平</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通过拨付该资金，对稳定社会的帮助</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为群众提供优质政务服务完成率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群众满意度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群众对提供各种政务等服务的满意度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群众满意度</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 w:name="_Toc67927845"/>
      <w:r>
        <w:rPr>
          <w:rFonts w:hint="eastAsia" w:ascii="仿宋" w:hAnsi="仿宋" w:eastAsia="仿宋"/>
          <w:b/>
          <w:sz w:val="32"/>
          <w:szCs w:val="32"/>
        </w:rPr>
        <w:t>2.粮食质量检测经费绩效目标表</w:t>
      </w:r>
      <w:bookmarkEnd w:id="1"/>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2、粮食质量检测经费绩效目标表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131026214F0RZWMW02NVD</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粮食质量检测经费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用于粮食检测费</w:t>
            </w:r>
            <w:r>
              <w:rPr>
                <w:rFonts w:ascii="仿宋" w:hAnsi="仿宋" w:eastAsia="仿宋"/>
                <w:sz w:val="32"/>
                <w:szCs w:val="32"/>
              </w:rPr>
              <w:t>10</w:t>
            </w:r>
            <w:r>
              <w:rPr>
                <w:rFonts w:hint="eastAsia" w:ascii="仿宋" w:hAnsi="仿宋" w:eastAsia="仿宋"/>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粮食质量安全、食品安全检测数量</w:t>
            </w:r>
            <w:r>
              <w:rPr>
                <w:rFonts w:ascii="仿宋" w:hAnsi="仿宋" w:eastAsia="仿宋"/>
                <w:sz w:val="32"/>
                <w:szCs w:val="32"/>
              </w:rPr>
              <w:t>100</w:t>
            </w:r>
            <w:r>
              <w:rPr>
                <w:rFonts w:hint="eastAsia" w:ascii="仿宋" w:hAnsi="仿宋" w:eastAsia="仿宋"/>
                <w:sz w:val="32"/>
                <w:szCs w:val="32"/>
              </w:rPr>
              <w:t>次</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完成率</w:t>
            </w:r>
            <w:r>
              <w:rPr>
                <w:rFonts w:ascii="仿宋" w:hAnsi="仿宋" w:eastAsia="仿宋"/>
                <w:sz w:val="32"/>
                <w:szCs w:val="32"/>
              </w:rPr>
              <w:t>95%</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使用人员满意度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粮食质量安全、食品安全检测数量</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对粮食质量安全、食品安全检测数量</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r>
              <w:rPr>
                <w:rFonts w:hint="eastAsia" w:ascii="仿宋" w:hAnsi="仿宋" w:eastAsia="仿宋"/>
                <w:sz w:val="32"/>
                <w:szCs w:val="32"/>
              </w:rPr>
              <w:t>次</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检测数量</w:t>
            </w:r>
            <w:r>
              <w:rPr>
                <w:rFonts w:ascii="仿宋" w:hAnsi="仿宋" w:eastAsia="仿宋"/>
                <w:sz w:val="32"/>
                <w:szCs w:val="32"/>
              </w:rPr>
              <w:t>100</w:t>
            </w:r>
            <w:r>
              <w:rPr>
                <w:rFonts w:hint="eastAsia" w:ascii="仿宋" w:hAnsi="仿宋" w:eastAsia="仿宋"/>
                <w:sz w:val="32"/>
                <w:szCs w:val="32"/>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对粮食各个环节样品的抽检合格率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对粮食收获、储存、加工、流通各个环节样品的抽检合格率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r>
              <w:rPr>
                <w:rFonts w:hint="eastAsia" w:ascii="仿宋" w:hAnsi="仿宋" w:eastAsia="仿宋"/>
                <w:sz w:val="32"/>
                <w:szCs w:val="32"/>
              </w:rPr>
              <w:t>次</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检测数量</w:t>
            </w:r>
            <w:r>
              <w:rPr>
                <w:rFonts w:ascii="仿宋" w:hAnsi="仿宋" w:eastAsia="仿宋"/>
                <w:sz w:val="32"/>
                <w:szCs w:val="32"/>
              </w:rPr>
              <w:t>100</w:t>
            </w:r>
            <w:r>
              <w:rPr>
                <w:rFonts w:hint="eastAsia" w:ascii="仿宋" w:hAnsi="仿宋" w:eastAsia="仿宋"/>
                <w:sz w:val="32"/>
                <w:szCs w:val="32"/>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对粮食收获、储存、加工、流通各个环节样品的抽检完成时效</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提供良好履职基础服务社会发展</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通过项目的开展完成对粮食收获、储存、加工、流通各个环节样品的抽检，提升粮食质量安全监测水平，保障广大人民群众</w:t>
            </w:r>
            <w:r>
              <w:rPr>
                <w:rFonts w:hint="cs" w:ascii="仿宋" w:hAnsi="仿宋" w:eastAsia="仿宋"/>
                <w:sz w:val="32"/>
                <w:szCs w:val="32"/>
              </w:rPr>
              <w:t>“</w:t>
            </w:r>
            <w:r>
              <w:rPr>
                <w:rFonts w:hint="eastAsia" w:ascii="仿宋" w:hAnsi="仿宋" w:eastAsia="仿宋"/>
                <w:sz w:val="32"/>
                <w:szCs w:val="32"/>
              </w:rPr>
              <w:t>舌尖上的安全</w:t>
            </w:r>
            <w:r>
              <w:rPr>
                <w:rFonts w:hint="cs" w:ascii="仿宋" w:hAnsi="仿宋" w:eastAsia="仿宋"/>
                <w:sz w:val="32"/>
                <w:szCs w:val="32"/>
              </w:rPr>
              <w:t>”</w:t>
            </w:r>
            <w:r>
              <w:rPr>
                <w:rFonts w:hint="eastAsia" w:ascii="仿宋" w:hAnsi="仿宋" w:eastAsia="仿宋"/>
                <w:sz w:val="32"/>
                <w:szCs w:val="32"/>
              </w:rPr>
              <w:t>的目标实现。</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使用人员满意度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调查中使用人员满意和比较满意占总人数的比例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使用人员满意度</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2" w:name="_Toc67927846"/>
      <w:r>
        <w:rPr>
          <w:rFonts w:hint="eastAsia" w:ascii="仿宋" w:hAnsi="仿宋" w:eastAsia="仿宋"/>
          <w:b/>
          <w:sz w:val="32"/>
          <w:szCs w:val="32"/>
        </w:rPr>
        <w:t>3.精神文明创建活动奖励绩效目标表</w:t>
      </w:r>
      <w:bookmarkEnd w:id="2"/>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3、精神文明创建活动奖励绩效目标表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1310262174INGDDCQI270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精神文明创建活动奖励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2736000.00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2736000.00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用于支付</w:t>
            </w:r>
            <w:r>
              <w:rPr>
                <w:rFonts w:ascii="仿宋" w:hAnsi="仿宋" w:eastAsia="仿宋"/>
                <w:sz w:val="32"/>
                <w:szCs w:val="32"/>
              </w:rPr>
              <w:t>2020</w:t>
            </w:r>
            <w:r>
              <w:rPr>
                <w:rFonts w:hint="eastAsia" w:ascii="仿宋" w:hAnsi="仿宋" w:eastAsia="仿宋"/>
                <w:sz w:val="32"/>
                <w:szCs w:val="32"/>
              </w:rPr>
              <w:t>年精神文明创建活动奖励。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保障发放准确率</w:t>
            </w:r>
            <w:r>
              <w:rPr>
                <w:rFonts w:ascii="仿宋" w:hAnsi="仿宋" w:eastAsia="仿宋"/>
                <w:sz w:val="32"/>
                <w:szCs w:val="32"/>
              </w:rPr>
              <w:t>100%</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按时拨付</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受益群体满意度</w:t>
            </w:r>
            <w:r>
              <w:rPr>
                <w:rFonts w:ascii="仿宋" w:hAnsi="仿宋" w:eastAsia="仿宋"/>
                <w:sz w:val="32"/>
                <w:szCs w:val="32"/>
              </w:rPr>
              <w:t>100%</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拨付人员数</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全部拨付到位</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196</w:t>
            </w:r>
            <w:r>
              <w:rPr>
                <w:rFonts w:hint="eastAsia" w:ascii="仿宋" w:hAnsi="仿宋" w:eastAsia="仿宋"/>
                <w:sz w:val="32"/>
                <w:szCs w:val="32"/>
              </w:rPr>
              <w:t>人</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全部拨付到位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准备率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准备率</w:t>
            </w:r>
            <w:r>
              <w:rPr>
                <w:rFonts w:ascii="仿宋" w:hAnsi="仿宋" w:eastAsia="仿宋"/>
                <w:sz w:val="32"/>
                <w:szCs w:val="32"/>
              </w:rPr>
              <w:t>100%</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准备率</w:t>
            </w:r>
            <w:r>
              <w:rPr>
                <w:rFonts w:ascii="仿宋" w:hAnsi="仿宋" w:eastAsia="仿宋"/>
                <w:sz w:val="32"/>
                <w:szCs w:val="3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按时拨付</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按要求准时拨付</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按要求准时拨付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稳定社会</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通过发放，促进社会稳定</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通过发放，促进社会稳定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受益群体满意度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受益群体满意度</w:t>
            </w:r>
            <w:r>
              <w:rPr>
                <w:rFonts w:ascii="仿宋" w:hAnsi="仿宋" w:eastAsia="仿宋"/>
                <w:sz w:val="32"/>
                <w:szCs w:val="32"/>
              </w:rPr>
              <w:t>100%</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受益群体满意度</w:t>
            </w:r>
            <w:r>
              <w:rPr>
                <w:rFonts w:ascii="仿宋" w:hAnsi="仿宋" w:eastAsia="仿宋"/>
                <w:sz w:val="32"/>
                <w:szCs w:val="32"/>
              </w:rPr>
              <w:t>100%</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3" w:name="_Toc67927847"/>
      <w:r>
        <w:rPr>
          <w:rFonts w:hint="eastAsia" w:ascii="仿宋" w:hAnsi="仿宋" w:eastAsia="仿宋"/>
          <w:b/>
          <w:sz w:val="32"/>
          <w:szCs w:val="32"/>
        </w:rPr>
        <w:t>4.2020年投资环境推介会暨项目签约活动经费绩效目标表</w:t>
      </w:r>
      <w:bookmarkEnd w:id="3"/>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4、2020年投资环境推介会暨项目签约活动经费绩效目标表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1310262187TM8W7GOV7AA</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年投资环境推介会暨项目签约活动经费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1769970.00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1769970.00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用于开展</w:t>
            </w:r>
            <w:r>
              <w:rPr>
                <w:rFonts w:ascii="仿宋" w:hAnsi="仿宋" w:eastAsia="仿宋"/>
                <w:sz w:val="32"/>
                <w:szCs w:val="32"/>
              </w:rPr>
              <w:t>5.19</w:t>
            </w:r>
            <w:r>
              <w:rPr>
                <w:rFonts w:hint="eastAsia" w:ascii="仿宋" w:hAnsi="仿宋" w:eastAsia="仿宋"/>
                <w:sz w:val="32"/>
                <w:szCs w:val="32"/>
              </w:rPr>
              <w:t>投资环境推介会暨项目签约活动，所需经费</w:t>
            </w:r>
            <w:r>
              <w:rPr>
                <w:rFonts w:ascii="仿宋" w:hAnsi="仿宋" w:eastAsia="仿宋"/>
                <w:sz w:val="32"/>
                <w:szCs w:val="32"/>
              </w:rPr>
              <w:t>1779970</w:t>
            </w:r>
            <w:r>
              <w:rPr>
                <w:rFonts w:hint="eastAsia" w:ascii="仿宋" w:hAnsi="仿宋" w:eastAsia="仿宋"/>
                <w:sz w:val="32"/>
                <w:szCs w:val="3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通过项目的开展更好推动全县招商引资工作，吸引参会企业</w:t>
            </w:r>
            <w:r>
              <w:rPr>
                <w:rFonts w:ascii="仿宋" w:hAnsi="仿宋" w:eastAsia="仿宋"/>
                <w:sz w:val="32"/>
                <w:szCs w:val="32"/>
              </w:rPr>
              <w:t>20</w:t>
            </w:r>
            <w:r>
              <w:rPr>
                <w:rFonts w:hint="eastAsia" w:ascii="仿宋" w:hAnsi="仿宋" w:eastAsia="仿宋"/>
                <w:sz w:val="32"/>
                <w:szCs w:val="32"/>
              </w:rPr>
              <w:t>家，参会企业代表</w:t>
            </w:r>
            <w:r>
              <w:rPr>
                <w:rFonts w:ascii="仿宋" w:hAnsi="仿宋" w:eastAsia="仿宋"/>
                <w:sz w:val="32"/>
                <w:szCs w:val="32"/>
              </w:rPr>
              <w:t>40</w:t>
            </w:r>
            <w:r>
              <w:rPr>
                <w:rFonts w:hint="eastAsia" w:ascii="仿宋" w:hAnsi="仿宋" w:eastAsia="仿宋"/>
                <w:sz w:val="32"/>
                <w:szCs w:val="32"/>
              </w:rPr>
              <w:t>人。</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安排招商大型活动一次</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满意度</w:t>
            </w:r>
            <w:r>
              <w:rPr>
                <w:rFonts w:ascii="仿宋" w:hAnsi="仿宋" w:eastAsia="仿宋"/>
                <w:sz w:val="32"/>
                <w:szCs w:val="32"/>
              </w:rPr>
              <w:t>95%</w:t>
            </w:r>
            <w:r>
              <w:rPr>
                <w:rFonts w:hint="eastAsia" w:ascii="仿宋" w:hAnsi="仿宋" w:eastAsia="仿宋"/>
                <w:sz w:val="32"/>
                <w:szCs w:val="32"/>
              </w:rPr>
              <w:t>。</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安排招商活动</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安排招商活动</w:t>
            </w:r>
            <w:r>
              <w:rPr>
                <w:rFonts w:ascii="仿宋" w:hAnsi="仿宋" w:eastAsia="仿宋"/>
                <w:sz w:val="32"/>
                <w:szCs w:val="32"/>
              </w:rPr>
              <w:t>1</w:t>
            </w:r>
            <w:r>
              <w:rPr>
                <w:rFonts w:hint="eastAsia" w:ascii="仿宋" w:hAnsi="仿宋" w:eastAsia="仿宋"/>
                <w:sz w:val="32"/>
                <w:szCs w:val="32"/>
              </w:rPr>
              <w:t>次</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次</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举办</w:t>
            </w:r>
            <w:r>
              <w:rPr>
                <w:rFonts w:ascii="仿宋" w:hAnsi="仿宋" w:eastAsia="仿宋"/>
                <w:sz w:val="32"/>
                <w:szCs w:val="32"/>
              </w:rPr>
              <w:t>5.19</w:t>
            </w:r>
            <w:r>
              <w:rPr>
                <w:rFonts w:hint="eastAsia" w:ascii="仿宋" w:hAnsi="仿宋" w:eastAsia="仿宋"/>
                <w:sz w:val="32"/>
                <w:szCs w:val="32"/>
              </w:rPr>
              <w:t>大型招商活动</w:t>
            </w:r>
            <w:r>
              <w:rPr>
                <w:rFonts w:ascii="仿宋" w:hAnsi="仿宋" w:eastAsia="仿宋"/>
                <w:sz w:val="32"/>
                <w:szCs w:val="32"/>
              </w:rPr>
              <w:t>1</w:t>
            </w:r>
            <w:r>
              <w:rPr>
                <w:rFonts w:hint="eastAsia" w:ascii="仿宋" w:hAnsi="仿宋" w:eastAsia="仿宋"/>
                <w:sz w:val="32"/>
                <w:szCs w:val="32"/>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准备工作到位</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准备工作到位，确保该活动有序，安全≥</w:t>
            </w:r>
            <w:r>
              <w:rPr>
                <w:rFonts w:ascii="仿宋" w:hAnsi="仿宋" w:eastAsia="仿宋"/>
                <w:sz w:val="32"/>
                <w:szCs w:val="32"/>
              </w:rPr>
              <w:t>95%</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活动有序，无安全事故，无人员伤亡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项目按期完成</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项目按计划方案完成</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扩大宣传影响力</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该活动的举办对我县宣传工作的影响力</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参会人员满意度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参会企业人员对该活动举办的满意度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调查走访</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4" w:name="_Toc67927848"/>
      <w:r>
        <w:rPr>
          <w:rFonts w:hint="eastAsia" w:ascii="仿宋" w:hAnsi="仿宋" w:eastAsia="仿宋"/>
          <w:b/>
          <w:sz w:val="32"/>
          <w:szCs w:val="32"/>
        </w:rPr>
        <w:t>5.“双创双服”专项工作经费绩效目标表</w:t>
      </w:r>
      <w:bookmarkEnd w:id="4"/>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5、\“双创双服\”专项工作经费绩效目标表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13102621AVNQKW1NIHK3R</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cs" w:ascii="仿宋" w:hAnsi="仿宋" w:eastAsia="仿宋"/>
                <w:sz w:val="32"/>
                <w:szCs w:val="32"/>
              </w:rPr>
              <w:t>“</w:t>
            </w:r>
            <w:r>
              <w:rPr>
                <w:rFonts w:hint="eastAsia" w:ascii="仿宋" w:hAnsi="仿宋" w:eastAsia="仿宋"/>
                <w:sz w:val="32"/>
                <w:szCs w:val="32"/>
              </w:rPr>
              <w:t>双创双服</w:t>
            </w:r>
            <w:r>
              <w:rPr>
                <w:rFonts w:hint="cs" w:ascii="仿宋" w:hAnsi="仿宋" w:eastAsia="仿宋"/>
                <w:sz w:val="32"/>
                <w:szCs w:val="32"/>
              </w:rPr>
              <w:t>”</w:t>
            </w:r>
            <w:r>
              <w:rPr>
                <w:rFonts w:hint="eastAsia" w:ascii="仿宋" w:hAnsi="仿宋" w:eastAsia="仿宋"/>
                <w:sz w:val="32"/>
                <w:szCs w:val="32"/>
              </w:rPr>
              <w:t>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从</w:t>
            </w:r>
            <w:r>
              <w:rPr>
                <w:rFonts w:ascii="仿宋" w:hAnsi="仿宋" w:eastAsia="仿宋"/>
                <w:sz w:val="32"/>
                <w:szCs w:val="32"/>
              </w:rPr>
              <w:t>2018</w:t>
            </w:r>
            <w:r>
              <w:rPr>
                <w:rFonts w:hint="eastAsia" w:ascii="仿宋" w:hAnsi="仿宋" w:eastAsia="仿宋"/>
                <w:sz w:val="32"/>
                <w:szCs w:val="32"/>
              </w:rPr>
              <w:t>年开始安排文安县</w:t>
            </w:r>
            <w:r>
              <w:rPr>
                <w:rFonts w:hint="cs" w:ascii="仿宋" w:hAnsi="仿宋" w:eastAsia="仿宋"/>
                <w:sz w:val="32"/>
                <w:szCs w:val="32"/>
              </w:rPr>
              <w:t>“</w:t>
            </w:r>
            <w:r>
              <w:rPr>
                <w:rFonts w:hint="eastAsia" w:ascii="仿宋" w:hAnsi="仿宋" w:eastAsia="仿宋"/>
                <w:sz w:val="32"/>
                <w:szCs w:val="32"/>
              </w:rPr>
              <w:t>双创双服</w:t>
            </w:r>
            <w:r>
              <w:rPr>
                <w:rFonts w:hint="cs" w:ascii="仿宋" w:hAnsi="仿宋" w:eastAsia="仿宋"/>
                <w:sz w:val="32"/>
                <w:szCs w:val="32"/>
              </w:rPr>
              <w:t>”</w:t>
            </w:r>
            <w:r>
              <w:rPr>
                <w:rFonts w:hint="eastAsia" w:ascii="仿宋" w:hAnsi="仿宋" w:eastAsia="仿宋"/>
                <w:sz w:val="32"/>
                <w:szCs w:val="32"/>
              </w:rPr>
              <w:t>活动项目，用于开展文安县</w:t>
            </w:r>
            <w:r>
              <w:rPr>
                <w:rFonts w:hint="cs" w:ascii="仿宋" w:hAnsi="仿宋" w:eastAsia="仿宋"/>
                <w:sz w:val="32"/>
                <w:szCs w:val="32"/>
              </w:rPr>
              <w:t>“</w:t>
            </w:r>
            <w:r>
              <w:rPr>
                <w:rFonts w:hint="eastAsia" w:ascii="仿宋" w:hAnsi="仿宋" w:eastAsia="仿宋"/>
                <w:sz w:val="32"/>
                <w:szCs w:val="32"/>
              </w:rPr>
              <w:t>双创双服</w:t>
            </w:r>
            <w:r>
              <w:rPr>
                <w:rFonts w:hint="cs" w:ascii="仿宋" w:hAnsi="仿宋" w:eastAsia="仿宋"/>
                <w:sz w:val="32"/>
                <w:szCs w:val="32"/>
              </w:rPr>
              <w:t>”</w:t>
            </w:r>
            <w:r>
              <w:rPr>
                <w:rFonts w:hint="eastAsia" w:ascii="仿宋" w:hAnsi="仿宋" w:eastAsia="仿宋"/>
                <w:sz w:val="32"/>
                <w:szCs w:val="32"/>
              </w:rPr>
              <w:t>活动经费，办公费</w:t>
            </w:r>
            <w:r>
              <w:rPr>
                <w:rFonts w:ascii="仿宋" w:hAnsi="仿宋" w:eastAsia="仿宋"/>
                <w:sz w:val="32"/>
                <w:szCs w:val="32"/>
              </w:rPr>
              <w:t>4</w:t>
            </w:r>
            <w:r>
              <w:rPr>
                <w:rFonts w:hint="eastAsia" w:ascii="仿宋" w:hAnsi="仿宋" w:eastAsia="仿宋"/>
                <w:sz w:val="32"/>
                <w:szCs w:val="32"/>
              </w:rPr>
              <w:t>万元，其他交通费</w:t>
            </w:r>
            <w:r>
              <w:rPr>
                <w:rFonts w:ascii="仿宋" w:hAnsi="仿宋" w:eastAsia="仿宋"/>
                <w:sz w:val="32"/>
                <w:szCs w:val="32"/>
              </w:rPr>
              <w:t>1</w:t>
            </w:r>
            <w:r>
              <w:rPr>
                <w:rFonts w:hint="eastAsia" w:ascii="仿宋" w:hAnsi="仿宋" w:eastAsia="仿宋"/>
                <w:sz w:val="32"/>
                <w:szCs w:val="32"/>
              </w:rPr>
              <w:t>万元，合计</w:t>
            </w:r>
            <w:r>
              <w:rPr>
                <w:rFonts w:ascii="仿宋" w:hAnsi="仿宋" w:eastAsia="仿宋"/>
                <w:sz w:val="32"/>
                <w:szCs w:val="32"/>
              </w:rPr>
              <w:t>5</w:t>
            </w:r>
            <w:r>
              <w:rPr>
                <w:rFonts w:hint="eastAsia" w:ascii="仿宋" w:hAnsi="仿宋" w:eastAsia="仿宋"/>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完成专题研究报告数量</w:t>
            </w:r>
            <w:r>
              <w:rPr>
                <w:rFonts w:ascii="仿宋" w:hAnsi="仿宋" w:eastAsia="仿宋"/>
                <w:sz w:val="32"/>
                <w:szCs w:val="32"/>
              </w:rPr>
              <w:t>5</w:t>
            </w:r>
            <w:r>
              <w:rPr>
                <w:rFonts w:hint="eastAsia" w:ascii="仿宋" w:hAnsi="仿宋" w:eastAsia="仿宋"/>
                <w:sz w:val="32"/>
                <w:szCs w:val="32"/>
              </w:rPr>
              <w:t>篇</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按预算完成</w:t>
            </w:r>
            <w:r>
              <w:rPr>
                <w:rFonts w:ascii="仿宋" w:hAnsi="仿宋" w:eastAsia="仿宋"/>
                <w:sz w:val="32"/>
                <w:szCs w:val="32"/>
              </w:rPr>
              <w:t>95%</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群众满意度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完成专题研究报告数量</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当年完成专题研究报告的数量</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篇</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完成专题研究报告数量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研究成果评审合格率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评审合格的研究成果数量占总研究数量比例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研究成果评审合格率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研究课题按时结题率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研究课题按时结题率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天</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成果应用率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按预算资金完成工作</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双创双服工资完成情况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群众满意度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服务部门对双创工作满意度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群众满意度</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5" w:name="_Toc67927849"/>
      <w:r>
        <w:rPr>
          <w:rFonts w:hint="eastAsia" w:ascii="仿宋" w:hAnsi="仿宋" w:eastAsia="仿宋"/>
          <w:b/>
          <w:sz w:val="32"/>
          <w:szCs w:val="32"/>
        </w:rPr>
        <w:t>6.招商服务中心工作经费绩效目标表</w:t>
      </w:r>
      <w:bookmarkEnd w:id="5"/>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6、招商服务中心工作经费绩效目标表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13102621B22IHKU5EQFUH</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招商服务中心工作经费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500000.00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500000.00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用于招商服务中心工作经费</w:t>
            </w:r>
            <w:r>
              <w:rPr>
                <w:rFonts w:ascii="仿宋" w:hAnsi="仿宋" w:eastAsia="仿宋"/>
                <w:sz w:val="32"/>
                <w:szCs w:val="32"/>
              </w:rPr>
              <w:t>50</w:t>
            </w:r>
            <w:r>
              <w:rPr>
                <w:rFonts w:hint="eastAsia" w:ascii="仿宋" w:hAnsi="仿宋" w:eastAsia="仿宋"/>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项目完成一项</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项目质量合格率</w:t>
            </w:r>
            <w:r>
              <w:rPr>
                <w:rFonts w:ascii="仿宋" w:hAnsi="仿宋" w:eastAsia="仿宋"/>
                <w:sz w:val="32"/>
                <w:szCs w:val="32"/>
              </w:rPr>
              <w:t>95%</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使用人员满意度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项目完成一项</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项目完成一项</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项目完成一项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项目质量合格率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项目质量合格率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有助经济发展</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本年度利用外资总额比上年的增长</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使用人员满意度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调查中使用人员满意和比较满意占总人数的比例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6" w:name="_Toc67927850"/>
      <w:r>
        <w:rPr>
          <w:rFonts w:hint="eastAsia" w:ascii="仿宋" w:hAnsi="仿宋" w:eastAsia="仿宋"/>
          <w:b/>
          <w:sz w:val="32"/>
          <w:szCs w:val="32"/>
        </w:rPr>
        <w:t>7.2020年结转项目资金（人员工资）绩效目标表</w:t>
      </w:r>
      <w:bookmarkEnd w:id="6"/>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7、2020年结转项目资金（人员工资）绩效目标表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13102621DKDTSH1I8K4F3</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年结转项目资金（人员工资）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580000.00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580000.00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用于支付预算外人员工资。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按时拨付</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满意度≥</w:t>
            </w:r>
            <w:r>
              <w:rPr>
                <w:rFonts w:ascii="仿宋" w:hAnsi="仿宋" w:eastAsia="仿宋"/>
                <w:sz w:val="32"/>
                <w:szCs w:val="32"/>
              </w:rPr>
              <w:t>95%</w:t>
            </w:r>
            <w:r>
              <w:rPr>
                <w:rFonts w:hint="eastAsia" w:ascii="仿宋" w:hAnsi="仿宋" w:eastAsia="仿宋"/>
                <w:sz w:val="32"/>
                <w:szCs w:val="32"/>
              </w:rPr>
              <w:t>。</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拨付</w:t>
            </w:r>
            <w:r>
              <w:rPr>
                <w:rFonts w:ascii="仿宋" w:hAnsi="仿宋" w:eastAsia="仿宋"/>
                <w:sz w:val="32"/>
                <w:szCs w:val="32"/>
              </w:rPr>
              <w:t>14</w:t>
            </w:r>
            <w:r>
              <w:rPr>
                <w:rFonts w:hint="eastAsia" w:ascii="仿宋" w:hAnsi="仿宋" w:eastAsia="仿宋"/>
                <w:sz w:val="32"/>
                <w:szCs w:val="32"/>
              </w:rPr>
              <w:t>名人员工资</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拨付</w:t>
            </w:r>
            <w:r>
              <w:rPr>
                <w:rFonts w:ascii="仿宋" w:hAnsi="仿宋" w:eastAsia="仿宋"/>
                <w:sz w:val="32"/>
                <w:szCs w:val="32"/>
              </w:rPr>
              <w:t>14</w:t>
            </w:r>
            <w:r>
              <w:rPr>
                <w:rFonts w:hint="eastAsia" w:ascii="仿宋" w:hAnsi="仿宋" w:eastAsia="仿宋"/>
                <w:sz w:val="32"/>
                <w:szCs w:val="32"/>
              </w:rPr>
              <w:t>名人员工资</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人</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拨付</w:t>
            </w:r>
            <w:r>
              <w:rPr>
                <w:rFonts w:ascii="仿宋" w:hAnsi="仿宋" w:eastAsia="仿宋"/>
                <w:sz w:val="32"/>
                <w:szCs w:val="32"/>
              </w:rPr>
              <w:t>14</w:t>
            </w:r>
            <w:r>
              <w:rPr>
                <w:rFonts w:hint="eastAsia" w:ascii="仿宋" w:hAnsi="仿宋" w:eastAsia="仿宋"/>
                <w:sz w:val="32"/>
                <w:szCs w:val="32"/>
              </w:rPr>
              <w:t>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准确率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金额核算，人员统计准确率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按时拨付</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按时拨付工资</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稳定社会</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通过工资发放对稳定社会作用</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实际反映</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7" w:name="_Toc67927851"/>
      <w:r>
        <w:rPr>
          <w:rFonts w:hint="eastAsia" w:ascii="仿宋" w:hAnsi="仿宋" w:eastAsia="仿宋"/>
          <w:b/>
          <w:sz w:val="32"/>
          <w:szCs w:val="32"/>
        </w:rPr>
        <w:t>8.涉案物品价格鉴证经费绩效目标表</w:t>
      </w:r>
      <w:bookmarkEnd w:id="7"/>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8、涉案物品价格鉴证经费绩效目标表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13102621DOC241HINZAMG</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涉案物品价格鉴证经费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从</w:t>
            </w:r>
            <w:r>
              <w:rPr>
                <w:rFonts w:ascii="仿宋" w:hAnsi="仿宋" w:eastAsia="仿宋"/>
                <w:sz w:val="32"/>
                <w:szCs w:val="32"/>
              </w:rPr>
              <w:t>2013</w:t>
            </w:r>
            <w:r>
              <w:rPr>
                <w:rFonts w:hint="eastAsia" w:ascii="仿宋" w:hAnsi="仿宋" w:eastAsia="仿宋"/>
                <w:sz w:val="32"/>
                <w:szCs w:val="32"/>
              </w:rPr>
              <w:t>年开始安排涉案物品价格鉴证项目，用于涉案物品价格的鉴证费用，项目每年都实施。在项目实施过程中发改局鉴证中心主要承担涉案物品价格鉴证职责，开展涉案物品价格鉴证工作。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按预算完成。</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对案件有价值鉴定占接办案件总数比例</w:t>
            </w:r>
            <w:r>
              <w:rPr>
                <w:rFonts w:ascii="仿宋" w:hAnsi="仿宋" w:eastAsia="仿宋"/>
                <w:sz w:val="32"/>
                <w:szCs w:val="32"/>
              </w:rPr>
              <w:t>95%</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受益群体对该工作所提供服务的满意度</w:t>
            </w:r>
            <w:r>
              <w:rPr>
                <w:rFonts w:ascii="仿宋" w:hAnsi="仿宋" w:eastAsia="仿宋"/>
                <w:sz w:val="32"/>
                <w:szCs w:val="32"/>
              </w:rPr>
              <w:t>100%</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价格鉴证业务培训</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全年对工作人员业务培训</w:t>
            </w:r>
            <w:r>
              <w:rPr>
                <w:rFonts w:ascii="仿宋" w:hAnsi="仿宋" w:eastAsia="仿宋"/>
                <w:sz w:val="32"/>
                <w:szCs w:val="32"/>
              </w:rPr>
              <w:t>2</w:t>
            </w:r>
            <w:r>
              <w:rPr>
                <w:rFonts w:hint="eastAsia" w:ascii="仿宋" w:hAnsi="仿宋" w:eastAsia="仿宋"/>
                <w:sz w:val="32"/>
                <w:szCs w:val="32"/>
              </w:rPr>
              <w:t>次</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次</w:t>
            </w:r>
          </w:p>
        </w:tc>
        <w:tc>
          <w:tcPr>
            <w:tcW w:w="1701" w:type="dxa"/>
            <w:shd w:val="clear" w:color="auto" w:fill="auto"/>
            <w:vAlign w:val="center"/>
          </w:tcPr>
          <w:p>
            <w:pPr>
              <w:spacing w:line="300" w:lineRule="exact"/>
              <w:jc w:val="left"/>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对案件有价值鉴定占比例</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对案件有价值鉴定占接办案件总数比例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培训计划按期完成率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培训计划按期完成率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社会稳定水平</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通过对涉案物品价格鉴定对案件所提供帮助对社会稳定所作出的贡献比例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受益群体对该工作所提供服务的满意度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8" w:name="_Toc67927852"/>
      <w:r>
        <w:rPr>
          <w:rFonts w:hint="eastAsia" w:ascii="仿宋" w:hAnsi="仿宋" w:eastAsia="仿宋"/>
          <w:b/>
          <w:sz w:val="32"/>
          <w:szCs w:val="32"/>
        </w:rPr>
        <w:t>9.京津冀协同发展工作经费绩效目标表</w:t>
      </w:r>
      <w:bookmarkEnd w:id="8"/>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9、京津冀协同发展工作经费绩效目标表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13102621FG8NBZ1UGTER5</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京津冀协同发展工作经费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用于协同办办公费</w:t>
            </w:r>
            <w:r>
              <w:rPr>
                <w:rFonts w:ascii="仿宋" w:hAnsi="仿宋" w:eastAsia="仿宋"/>
                <w:sz w:val="32"/>
                <w:szCs w:val="32"/>
              </w:rPr>
              <w:t>2</w:t>
            </w:r>
            <w:r>
              <w:rPr>
                <w:rFonts w:hint="eastAsia" w:ascii="仿宋" w:hAnsi="仿宋" w:eastAsia="仿宋"/>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完成专题研究报告数量</w:t>
            </w:r>
            <w:r>
              <w:rPr>
                <w:rFonts w:ascii="仿宋" w:hAnsi="仿宋" w:eastAsia="仿宋"/>
                <w:sz w:val="32"/>
                <w:szCs w:val="32"/>
              </w:rPr>
              <w:t>5</w:t>
            </w:r>
            <w:r>
              <w:rPr>
                <w:rFonts w:hint="eastAsia" w:ascii="仿宋" w:hAnsi="仿宋" w:eastAsia="仿宋"/>
                <w:sz w:val="32"/>
                <w:szCs w:val="32"/>
              </w:rPr>
              <w:t>篇</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按预算完成</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群众满意度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完成专题研究报告数量</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当年完成专题研究报告的数量</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篇</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完成专题研究报告数量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研究成果评审合格率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评审合格的研究成果数量占总研究数量比例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研究成果评审合格率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研究课题按时结题率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研究课题按时结题率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天</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成果应用率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得以应用的研究成果数量占总成果数量比例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双创双服工资完成情况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群众满意度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服务部门对双创工作满意度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群众满意度</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9" w:name="_Toc67927853"/>
      <w:r>
        <w:rPr>
          <w:rFonts w:hint="eastAsia" w:ascii="仿宋" w:hAnsi="仿宋" w:eastAsia="仿宋"/>
          <w:b/>
          <w:sz w:val="32"/>
          <w:szCs w:val="32"/>
        </w:rPr>
        <w:t>10.2019年采暖季洁净煤补贴绩效目标表</w:t>
      </w:r>
      <w:bookmarkEnd w:id="9"/>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10、2019年采暖季洁净煤补贴绩效目标表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13102621HF1O8KC2XY8YE</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年采暖季洁净煤补贴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9356849.20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9356849.20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w:t>
            </w:r>
            <w:r>
              <w:rPr>
                <w:rFonts w:ascii="仿宋" w:hAnsi="仿宋" w:eastAsia="仿宋"/>
                <w:sz w:val="32"/>
                <w:szCs w:val="32"/>
              </w:rPr>
              <w:t>2019</w:t>
            </w:r>
            <w:r>
              <w:rPr>
                <w:rFonts w:hint="eastAsia" w:ascii="仿宋" w:hAnsi="仿宋" w:eastAsia="仿宋"/>
                <w:sz w:val="32"/>
                <w:szCs w:val="32"/>
              </w:rPr>
              <w:t>年采暖季洁净煤补贴发放。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1.2021</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月前拨付完毕。</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受益群体满意度≥</w:t>
            </w:r>
            <w:r>
              <w:rPr>
                <w:rFonts w:ascii="仿宋" w:hAnsi="仿宋" w:eastAsia="仿宋"/>
                <w:sz w:val="32"/>
                <w:szCs w:val="32"/>
              </w:rPr>
              <w:t>95%</w:t>
            </w:r>
            <w:r>
              <w:rPr>
                <w:rFonts w:hint="eastAsia" w:ascii="仿宋" w:hAnsi="仿宋" w:eastAsia="仿宋"/>
                <w:sz w:val="32"/>
                <w:szCs w:val="32"/>
              </w:rPr>
              <w:t>。</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准确率≥</w:t>
            </w:r>
            <w:r>
              <w:rPr>
                <w:rFonts w:ascii="仿宋" w:hAnsi="仿宋" w:eastAsia="仿宋"/>
                <w:sz w:val="32"/>
                <w:szCs w:val="32"/>
              </w:rPr>
              <w:t>98%</w:t>
            </w:r>
            <w:r>
              <w:rPr>
                <w:rFonts w:hint="eastAsia" w:ascii="仿宋" w:hAnsi="仿宋" w:eastAsia="仿宋"/>
                <w:sz w:val="32"/>
                <w:szCs w:val="32"/>
              </w:rPr>
              <w:t>。</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补贴到位</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经审核符合领取补贴条件的人员人数占申报人数的比例</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社会补贴到位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足额拨付</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按比例足额拨付补贴</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按比例足额拨付补贴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按要求和计划完成补贴发放的金额在总金额的比例（百分比）</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按要求和计划完成补贴发放的金额在总金额的比例（百分比）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稳定社会</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在我县产生的重要影响，得到收益者的充分认可</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在我县产生的重要影响，得到收益者的充分认可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受益群体满意度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受益群体满意度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调查走访</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0" w:name="_Toc67927854"/>
      <w:r>
        <w:rPr>
          <w:rFonts w:hint="eastAsia" w:ascii="仿宋" w:hAnsi="仿宋" w:eastAsia="仿宋"/>
          <w:b/>
          <w:sz w:val="32"/>
          <w:szCs w:val="32"/>
        </w:rPr>
        <w:t>11.粮食行政执法经费绩效目标表</w:t>
      </w:r>
      <w:bookmarkEnd w:id="10"/>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11、粮食行政执法经费绩效目标表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13102621HHG1FT3QUQPKW</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粮食行政执法经费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p>
          <w:p>
            <w:pPr>
              <w:spacing w:line="300" w:lineRule="exact"/>
              <w:jc w:val="left"/>
              <w:rPr>
                <w:rFonts w:ascii="仿宋" w:hAnsi="仿宋" w:eastAsia="仿宋"/>
                <w:sz w:val="32"/>
                <w:szCs w:val="32"/>
              </w:rPr>
            </w:pPr>
            <w:r>
              <w:rPr>
                <w:rFonts w:hint="eastAsia" w:ascii="仿宋" w:hAnsi="仿宋" w:eastAsia="仿宋"/>
                <w:sz w:val="32"/>
                <w:szCs w:val="32"/>
              </w:rPr>
              <w:t>购置执法记录仪、照相机、电脑等执法设备，用款</w:t>
            </w:r>
            <w:r>
              <w:rPr>
                <w:rFonts w:ascii="仿宋" w:hAnsi="仿宋" w:eastAsia="仿宋"/>
                <w:sz w:val="32"/>
                <w:szCs w:val="32"/>
              </w:rPr>
              <w:t>2</w:t>
            </w:r>
            <w:r>
              <w:rPr>
                <w:rFonts w:hint="eastAsia" w:ascii="仿宋" w:hAnsi="仿宋" w:eastAsia="仿宋"/>
                <w:sz w:val="32"/>
                <w:szCs w:val="32"/>
              </w:rPr>
              <w:t>万元，执法车辆维修使用费用</w:t>
            </w:r>
            <w:r>
              <w:rPr>
                <w:rFonts w:ascii="仿宋" w:hAnsi="仿宋" w:eastAsia="仿宋"/>
                <w:sz w:val="32"/>
                <w:szCs w:val="32"/>
              </w:rPr>
              <w:t>3</w:t>
            </w:r>
            <w:r>
              <w:rPr>
                <w:rFonts w:hint="eastAsia" w:ascii="仿宋" w:hAnsi="仿宋" w:eastAsia="仿宋"/>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对我县近</w:t>
            </w:r>
            <w:r>
              <w:rPr>
                <w:rFonts w:ascii="仿宋" w:hAnsi="仿宋" w:eastAsia="仿宋"/>
                <w:sz w:val="32"/>
                <w:szCs w:val="32"/>
              </w:rPr>
              <w:t>13</w:t>
            </w:r>
            <w:r>
              <w:rPr>
                <w:rFonts w:hint="eastAsia" w:ascii="仿宋" w:hAnsi="仿宋" w:eastAsia="仿宋"/>
                <w:sz w:val="32"/>
                <w:szCs w:val="32"/>
              </w:rPr>
              <w:t>家粮食经营企业进行检查合格率。</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确保宣传到位</w:t>
            </w:r>
            <w:r>
              <w:rPr>
                <w:rFonts w:ascii="仿宋" w:hAnsi="仿宋" w:eastAsia="仿宋"/>
                <w:sz w:val="32"/>
                <w:szCs w:val="32"/>
              </w:rPr>
              <w:t>95%</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使用人员满意度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13</w:t>
            </w:r>
            <w:r>
              <w:rPr>
                <w:rFonts w:hint="eastAsia" w:ascii="仿宋" w:hAnsi="仿宋" w:eastAsia="仿宋"/>
                <w:sz w:val="32"/>
                <w:szCs w:val="32"/>
              </w:rPr>
              <w:t>家粮食企业检查次数</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对我县近</w:t>
            </w:r>
            <w:r>
              <w:rPr>
                <w:rFonts w:ascii="仿宋" w:hAnsi="仿宋" w:eastAsia="仿宋"/>
                <w:sz w:val="32"/>
                <w:szCs w:val="32"/>
              </w:rPr>
              <w:t>13</w:t>
            </w:r>
            <w:r>
              <w:rPr>
                <w:rFonts w:hint="eastAsia" w:ascii="仿宋" w:hAnsi="仿宋" w:eastAsia="仿宋"/>
                <w:sz w:val="32"/>
                <w:szCs w:val="32"/>
              </w:rPr>
              <w:t>家粮食经营企业进行检查。</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26</w:t>
            </w:r>
            <w:r>
              <w:rPr>
                <w:rFonts w:hint="eastAsia" w:ascii="仿宋" w:hAnsi="仿宋" w:eastAsia="仿宋"/>
                <w:sz w:val="32"/>
                <w:szCs w:val="32"/>
              </w:rPr>
              <w:t>次</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检测企业</w:t>
            </w:r>
            <w:r>
              <w:rPr>
                <w:rFonts w:ascii="仿宋" w:hAnsi="仿宋" w:eastAsia="仿宋"/>
                <w:sz w:val="32"/>
                <w:szCs w:val="32"/>
              </w:rPr>
              <w:t>26</w:t>
            </w:r>
            <w:r>
              <w:rPr>
                <w:rFonts w:hint="eastAsia" w:ascii="仿宋" w:hAnsi="仿宋" w:eastAsia="仿宋"/>
                <w:sz w:val="32"/>
                <w:szCs w:val="32"/>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13</w:t>
            </w:r>
            <w:r>
              <w:rPr>
                <w:rFonts w:hint="eastAsia" w:ascii="仿宋" w:hAnsi="仿宋" w:eastAsia="仿宋"/>
                <w:sz w:val="32"/>
                <w:szCs w:val="32"/>
              </w:rPr>
              <w:t>家粮食企业检查合格率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对我县近</w:t>
            </w:r>
            <w:r>
              <w:rPr>
                <w:rFonts w:ascii="仿宋" w:hAnsi="仿宋" w:eastAsia="仿宋"/>
                <w:sz w:val="32"/>
                <w:szCs w:val="32"/>
              </w:rPr>
              <w:t>13</w:t>
            </w:r>
            <w:r>
              <w:rPr>
                <w:rFonts w:hint="eastAsia" w:ascii="仿宋" w:hAnsi="仿宋" w:eastAsia="仿宋"/>
                <w:sz w:val="32"/>
                <w:szCs w:val="32"/>
              </w:rPr>
              <w:t>家粮食经营企业进行检查。</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r>
              <w:rPr>
                <w:rFonts w:hint="eastAsia" w:ascii="仿宋" w:hAnsi="仿宋" w:eastAsia="仿宋"/>
                <w:sz w:val="32"/>
                <w:szCs w:val="32"/>
              </w:rPr>
              <w:t>次</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检测数量</w:t>
            </w:r>
            <w:r>
              <w:rPr>
                <w:rFonts w:ascii="仿宋" w:hAnsi="仿宋" w:eastAsia="仿宋"/>
                <w:sz w:val="32"/>
                <w:szCs w:val="32"/>
              </w:rPr>
              <w:t>100</w:t>
            </w:r>
            <w:r>
              <w:rPr>
                <w:rFonts w:hint="eastAsia" w:ascii="仿宋" w:hAnsi="仿宋" w:eastAsia="仿宋"/>
                <w:sz w:val="32"/>
                <w:szCs w:val="32"/>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确保宣传到位</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确保宣传到位率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普及率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粮食相关政策普及率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使用人员满意度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调查中使用人员满意和比较满意占总人数的比例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使用人员满意度</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1" w:name="_Toc67927855"/>
      <w:r>
        <w:rPr>
          <w:rFonts w:hint="eastAsia" w:ascii="仿宋" w:hAnsi="仿宋" w:eastAsia="仿宋"/>
          <w:b/>
          <w:sz w:val="32"/>
          <w:szCs w:val="32"/>
        </w:rPr>
        <w:t>12.2020年债券项目一案两书编制费绩效目标表</w:t>
      </w:r>
      <w:bookmarkEnd w:id="11"/>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12、2020年债券项目一案两书编制费绩效目标表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13102621KGQ6MLS76H3N1</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年债券项目一案两书编制费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120000.00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120000.00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用于支付</w:t>
            </w:r>
            <w:r>
              <w:rPr>
                <w:rFonts w:ascii="仿宋" w:hAnsi="仿宋" w:eastAsia="仿宋"/>
                <w:sz w:val="32"/>
                <w:szCs w:val="32"/>
              </w:rPr>
              <w:t>2020</w:t>
            </w:r>
            <w:r>
              <w:rPr>
                <w:rFonts w:hint="eastAsia" w:ascii="仿宋" w:hAnsi="仿宋" w:eastAsia="仿宋"/>
                <w:sz w:val="32"/>
                <w:szCs w:val="32"/>
              </w:rPr>
              <w:t>年债券项目一案两书编制费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按时拨付</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服务对象满意度≥</w:t>
            </w:r>
            <w:r>
              <w:rPr>
                <w:rFonts w:ascii="仿宋" w:hAnsi="仿宋" w:eastAsia="仿宋"/>
                <w:sz w:val="32"/>
                <w:szCs w:val="32"/>
              </w:rPr>
              <w:t>95%</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按预算拨付</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拨付</w:t>
            </w:r>
            <w:r>
              <w:rPr>
                <w:rFonts w:ascii="仿宋" w:hAnsi="仿宋" w:eastAsia="仿宋"/>
                <w:sz w:val="32"/>
                <w:szCs w:val="32"/>
              </w:rPr>
              <w:t>12</w:t>
            </w:r>
            <w:r>
              <w:rPr>
                <w:rFonts w:hint="eastAsia" w:ascii="仿宋" w:hAnsi="仿宋" w:eastAsia="仿宋"/>
                <w:sz w:val="32"/>
                <w:szCs w:val="32"/>
              </w:rPr>
              <w:t>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拨付</w:t>
            </w:r>
            <w:r>
              <w:rPr>
                <w:rFonts w:ascii="仿宋" w:hAnsi="仿宋" w:eastAsia="仿宋"/>
                <w:sz w:val="32"/>
                <w:szCs w:val="32"/>
              </w:rPr>
              <w:t>12</w:t>
            </w:r>
            <w:r>
              <w:rPr>
                <w:rFonts w:hint="eastAsia" w:ascii="仿宋" w:hAnsi="仿宋" w:eastAsia="仿宋"/>
                <w:sz w:val="32"/>
                <w:szCs w:val="32"/>
              </w:rPr>
              <w:t>万</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万</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按要求拨付</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按要求拨付</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按时拨付</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按时拨付</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社会影响力</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社会影响力</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万</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受益群体满意度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受益群体满意度≥</w:t>
            </w:r>
            <w:r>
              <w:rPr>
                <w:rFonts w:ascii="仿宋" w:hAnsi="仿宋" w:eastAsia="仿宋"/>
                <w:sz w:val="32"/>
                <w:szCs w:val="32"/>
              </w:rPr>
              <w:t>95%</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2" w:name="_Toc67927856"/>
      <w:r>
        <w:rPr>
          <w:rFonts w:hint="eastAsia" w:ascii="仿宋" w:hAnsi="仿宋" w:eastAsia="仿宋"/>
          <w:b/>
          <w:sz w:val="32"/>
          <w:szCs w:val="32"/>
        </w:rPr>
        <w:t>13.招商服务中心筹建经费绩效目标表</w:t>
      </w:r>
      <w:bookmarkEnd w:id="12"/>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13、招商服务中心筹建经费绩效目标表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13102621LOZIZQ5XG8CAM</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招商服务中心筹建经费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500000.00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500000.00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用于招商服务中心筹建工作</w:t>
            </w:r>
            <w:r>
              <w:rPr>
                <w:rFonts w:ascii="仿宋" w:hAnsi="仿宋" w:eastAsia="仿宋"/>
                <w:sz w:val="32"/>
                <w:szCs w:val="32"/>
              </w:rPr>
              <w:t>50</w:t>
            </w:r>
            <w:r>
              <w:rPr>
                <w:rFonts w:hint="eastAsia" w:ascii="仿宋" w:hAnsi="仿宋" w:eastAsia="仿宋"/>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项目完成一项</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按时完成</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使用人员满意度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项目完成一项</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项目完成一项</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项目质量合格率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项目质量合格率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有助经济发展</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本年度利用外资总额比上年的增长</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使用人员满意度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使用人员满意度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3" w:name="_Toc67927857"/>
      <w:r>
        <w:rPr>
          <w:rFonts w:hint="eastAsia" w:ascii="仿宋" w:hAnsi="仿宋" w:eastAsia="仿宋"/>
          <w:b/>
          <w:sz w:val="32"/>
          <w:szCs w:val="32"/>
        </w:rPr>
        <w:t>14.文安县粮食质量检测站所需资金绩效目标表</w:t>
      </w:r>
      <w:bookmarkEnd w:id="13"/>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14、文安县粮食质量检测站所需资金绩效目标表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13102621OKRXWBDCGD5X8</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文安县粮食质量检测站所需资金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982000.00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982000.00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用于采购粮食检测设备，所需资金</w:t>
            </w:r>
            <w:r>
              <w:rPr>
                <w:rFonts w:ascii="仿宋" w:hAnsi="仿宋" w:eastAsia="仿宋"/>
                <w:sz w:val="32"/>
                <w:szCs w:val="32"/>
              </w:rPr>
              <w:t>982000</w:t>
            </w:r>
            <w:r>
              <w:rPr>
                <w:rFonts w:hint="eastAsia" w:ascii="仿宋" w:hAnsi="仿宋" w:eastAsia="仿宋"/>
                <w:sz w:val="32"/>
                <w:szCs w:val="3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按时完成采购，验收。</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通过设备的购置，对粮食进行抽检，确保粮食安全。</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群众满意度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购买数量</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实际购买占合同完成购买数量比例</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设备质量</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通过验收对设备质量检测</w:t>
            </w:r>
            <w:r>
              <w:rPr>
                <w:rFonts w:ascii="仿宋" w:hAnsi="仿宋" w:eastAsia="仿宋"/>
                <w:sz w:val="32"/>
                <w:szCs w:val="32"/>
              </w:rPr>
              <w:t>,</w:t>
            </w:r>
            <w:r>
              <w:rPr>
                <w:rFonts w:hint="eastAsia" w:ascii="仿宋" w:hAnsi="仿宋" w:eastAsia="仿宋"/>
                <w:sz w:val="32"/>
                <w:szCs w:val="32"/>
              </w:rPr>
              <w:t>合格率</w:t>
            </w:r>
            <w:r>
              <w:rPr>
                <w:rFonts w:ascii="仿宋" w:hAnsi="仿宋" w:eastAsia="仿宋"/>
                <w:sz w:val="32"/>
                <w:szCs w:val="32"/>
              </w:rPr>
              <w:t>100%</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按时完成设备采购</w:t>
            </w:r>
            <w:r>
              <w:rPr>
                <w:rFonts w:ascii="仿宋" w:hAnsi="仿宋" w:eastAsia="仿宋"/>
                <w:sz w:val="32"/>
                <w:szCs w:val="32"/>
              </w:rPr>
              <w:t>,</w:t>
            </w:r>
            <w:r>
              <w:rPr>
                <w:rFonts w:hint="eastAsia" w:ascii="仿宋" w:hAnsi="仿宋" w:eastAsia="仿宋"/>
                <w:sz w:val="32"/>
                <w:szCs w:val="32"/>
              </w:rPr>
              <w:t>设备准备入场</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稳定社会</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通过该设备的配备对我县粮食抽检，，提升粮食安全监测水平，保障食品安全</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可持续影响指标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可持续影响指标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通检测过对粮食安全，食品安全监督，提升粮食质量安全监测水平，保障社会稳定</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年</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可持续影响</w:t>
            </w:r>
            <w:r>
              <w:rPr>
                <w:rFonts w:ascii="仿宋" w:hAnsi="仿宋" w:eastAsia="仿宋"/>
                <w:sz w:val="32"/>
                <w:szCs w:val="32"/>
              </w:rPr>
              <w:t>10</w:t>
            </w:r>
            <w:r>
              <w:rPr>
                <w:rFonts w:hint="eastAsia" w:ascii="仿宋" w:hAnsi="仿宋" w:eastAsia="仿宋"/>
                <w:sz w:val="32"/>
                <w:szCs w:val="32"/>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群众满意度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群众满意和比较满意展总调查人数的比例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调查走访</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4" w:name="_Toc67927858"/>
      <w:r>
        <w:rPr>
          <w:rFonts w:hint="eastAsia" w:ascii="仿宋" w:hAnsi="仿宋" w:eastAsia="仿宋"/>
          <w:b/>
          <w:sz w:val="32"/>
          <w:szCs w:val="32"/>
        </w:rPr>
        <w:t>15.粮食企业改制资金绩效目标表</w:t>
      </w:r>
      <w:bookmarkEnd w:id="14"/>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15、粮食企业改制资金绩效目标表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13102621P7AI80BPGYICP</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粮食企业改制资金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300000.00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300000.00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我县自</w:t>
            </w:r>
            <w:r>
              <w:rPr>
                <w:rFonts w:ascii="仿宋" w:hAnsi="仿宋" w:eastAsia="仿宋"/>
                <w:sz w:val="32"/>
                <w:szCs w:val="32"/>
              </w:rPr>
              <w:t>2004</w:t>
            </w:r>
            <w:r>
              <w:rPr>
                <w:rFonts w:hint="eastAsia" w:ascii="仿宋" w:hAnsi="仿宋" w:eastAsia="仿宋"/>
                <w:sz w:val="32"/>
                <w:szCs w:val="32"/>
              </w:rPr>
              <w:t>年粮食企业改制以来，原粮食企业离退休、</w:t>
            </w:r>
            <w:r>
              <w:rPr>
                <w:rFonts w:ascii="仿宋" w:hAnsi="仿宋" w:eastAsia="仿宋"/>
                <w:sz w:val="32"/>
                <w:szCs w:val="32"/>
              </w:rPr>
              <w:t>5.30</w:t>
            </w:r>
            <w:r>
              <w:rPr>
                <w:rFonts w:hint="eastAsia" w:ascii="仿宋" w:hAnsi="仿宋" w:eastAsia="仿宋"/>
                <w:sz w:val="32"/>
                <w:szCs w:val="32"/>
              </w:rPr>
              <w:t>人员的供养支出和文安县均拓粮食国有资产运营有限公司（以下简称均拓公司）的运营经费这些粮改资金一直是由县财政在粮食企业国有资产的处置收益中列支，并统一拨付。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补贴发放率</w:t>
            </w:r>
            <w:r>
              <w:rPr>
                <w:rFonts w:ascii="仿宋" w:hAnsi="仿宋" w:eastAsia="仿宋"/>
                <w:sz w:val="32"/>
                <w:szCs w:val="32"/>
              </w:rPr>
              <w:t>99%</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完成率</w:t>
            </w:r>
            <w:r>
              <w:rPr>
                <w:rFonts w:ascii="仿宋" w:hAnsi="仿宋" w:eastAsia="仿宋"/>
                <w:sz w:val="32"/>
                <w:szCs w:val="32"/>
              </w:rPr>
              <w:t>99%</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服务对象满意度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按照要求和计划完成拨付的资金数占所需资金的比例（百分比）</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99%</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国有资产保值增值率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保证所管理的国有资产保值增值</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按照要求和计划完成拨付的资金数占所需资金的比例（百分比）</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99%</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补贴发放率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发放补贴完成率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99%</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受益群众对对该项补贴满意程度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5" w:name="_Toc67927859"/>
      <w:r>
        <w:rPr>
          <w:rFonts w:hint="eastAsia" w:ascii="仿宋" w:hAnsi="仿宋" w:eastAsia="仿宋"/>
          <w:b/>
          <w:sz w:val="32"/>
          <w:szCs w:val="32"/>
        </w:rPr>
        <w:t>16.2021年基金列支项目资金（粮食企业国有土地规划调整及测绘）绩效目标表</w:t>
      </w:r>
      <w:bookmarkEnd w:id="15"/>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16、2021年基金列支项目资金（粮食企业国有土地规划调整及测绘）绩效目标表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13102621QTCPLWGVMLXT6</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年基金列支项目资金（粮食企业国有土地规划调整及测绘）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824000.00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824000.00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用于支付我县粮食企业国有土地规划调整及测绘费用。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测绘准确率≥</w:t>
            </w:r>
            <w:r>
              <w:rPr>
                <w:rFonts w:ascii="仿宋" w:hAnsi="仿宋" w:eastAsia="仿宋"/>
                <w:sz w:val="32"/>
                <w:szCs w:val="32"/>
              </w:rPr>
              <w:t>98%</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使用数据单位满意度≥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完成三块土地规划调整及测绘</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完成三块土地规划调整及测绘</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块</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完成三块土地规划调整及测绘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准确率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准确率≥</w:t>
            </w:r>
            <w:r>
              <w:rPr>
                <w:rFonts w:ascii="仿宋" w:hAnsi="仿宋" w:eastAsia="仿宋"/>
                <w:sz w:val="32"/>
                <w:szCs w:val="32"/>
              </w:rPr>
              <w:t>98%</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98%</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按期完成</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按期完成</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有助我县国有土地规划调调整</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有助我县国有土地规划调调整</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使用数据单位满意度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使用数据单位满意度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6" w:name="_Toc67927860"/>
      <w:r>
        <w:rPr>
          <w:rFonts w:hint="eastAsia" w:ascii="仿宋" w:hAnsi="仿宋" w:eastAsia="仿宋"/>
          <w:b/>
          <w:sz w:val="32"/>
          <w:szCs w:val="32"/>
        </w:rPr>
        <w:t>17.采购2020年应急物资绩效目标表</w:t>
      </w:r>
      <w:bookmarkEnd w:id="16"/>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17、采购2020年应急物资绩效目标表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13102621SB5QAOLRZUL8T</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采购</w:t>
            </w:r>
            <w:r>
              <w:rPr>
                <w:rFonts w:ascii="仿宋" w:hAnsi="仿宋" w:eastAsia="仿宋"/>
                <w:sz w:val="32"/>
                <w:szCs w:val="32"/>
              </w:rPr>
              <w:t>2020</w:t>
            </w:r>
            <w:r>
              <w:rPr>
                <w:rFonts w:hint="eastAsia" w:ascii="仿宋" w:hAnsi="仿宋" w:eastAsia="仿宋"/>
                <w:sz w:val="32"/>
                <w:szCs w:val="32"/>
              </w:rPr>
              <w:t>年应急物资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480888.00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480888.00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用于应急物资采购，所需资金</w:t>
            </w:r>
            <w:r>
              <w:rPr>
                <w:rFonts w:ascii="仿宋" w:hAnsi="仿宋" w:eastAsia="仿宋"/>
                <w:sz w:val="32"/>
                <w:szCs w:val="32"/>
              </w:rPr>
              <w:t>480888</w:t>
            </w:r>
            <w:r>
              <w:rPr>
                <w:rFonts w:hint="eastAsia" w:ascii="仿宋" w:hAnsi="仿宋" w:eastAsia="仿宋"/>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确保物资充足，满足应急工作需要。</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验收合格率≥</w:t>
            </w:r>
            <w:r>
              <w:rPr>
                <w:rFonts w:ascii="仿宋" w:hAnsi="仿宋" w:eastAsia="仿宋"/>
                <w:sz w:val="32"/>
                <w:szCs w:val="32"/>
              </w:rPr>
              <w:t>99%</w:t>
            </w:r>
            <w:r>
              <w:rPr>
                <w:rFonts w:hint="eastAsia" w:ascii="仿宋" w:hAnsi="仿宋" w:eastAsia="仿宋"/>
                <w:sz w:val="32"/>
                <w:szCs w:val="32"/>
              </w:rPr>
              <w:t>。</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群众满意度≥</w:t>
            </w:r>
            <w:r>
              <w:rPr>
                <w:rFonts w:ascii="仿宋" w:hAnsi="仿宋" w:eastAsia="仿宋"/>
                <w:sz w:val="32"/>
                <w:szCs w:val="32"/>
              </w:rPr>
              <w:t>95%</w:t>
            </w:r>
            <w:r>
              <w:rPr>
                <w:rFonts w:hint="eastAsia" w:ascii="仿宋" w:hAnsi="仿宋" w:eastAsia="仿宋"/>
                <w:sz w:val="32"/>
                <w:szCs w:val="32"/>
              </w:rPr>
              <w:t>。</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购置数量</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购置物资完成计划比例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购置质量合格率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购置质量合格的数量占总量的比例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99%</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通过检验检测购置质量合格率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按时完成采购</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在规定时间内按时完成采购，</w:t>
            </w:r>
            <w:r>
              <w:rPr>
                <w:rFonts w:ascii="仿宋" w:hAnsi="仿宋" w:eastAsia="仿宋"/>
                <w:sz w:val="32"/>
                <w:szCs w:val="32"/>
              </w:rPr>
              <w:t>6</w:t>
            </w:r>
            <w:r>
              <w:rPr>
                <w:rFonts w:hint="eastAsia" w:ascii="仿宋" w:hAnsi="仿宋" w:eastAsia="仿宋"/>
                <w:sz w:val="32"/>
                <w:szCs w:val="32"/>
              </w:rPr>
              <w:t>月前物资入库</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月</w:t>
            </w:r>
          </w:p>
        </w:tc>
        <w:tc>
          <w:tcPr>
            <w:tcW w:w="1701" w:type="dxa"/>
            <w:shd w:val="clear" w:color="auto" w:fill="auto"/>
            <w:vAlign w:val="center"/>
          </w:tcPr>
          <w:p>
            <w:pPr>
              <w:spacing w:line="300" w:lineRule="exact"/>
              <w:jc w:val="left"/>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物资储备对社会影响</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通过充足的物资储备，有效应对突发事件，稳定社会，促进社会稳定</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调查取证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可持续影响指标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物资储备对我县时间</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通过及时采购物资安全度汛，保障人民生命财产安全</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年</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辖区群众满意度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通过应急物资的充分储备，保障辖区民众安全度汛</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调查走访</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7" w:name="_Toc67927861"/>
      <w:r>
        <w:rPr>
          <w:rFonts w:hint="eastAsia" w:ascii="仿宋" w:hAnsi="仿宋" w:eastAsia="仿宋"/>
          <w:b/>
          <w:sz w:val="32"/>
          <w:szCs w:val="32"/>
        </w:rPr>
        <w:t>18.2020年结转项目资金（“十四五”发展规划编制经费）绩效目标表</w:t>
      </w:r>
      <w:bookmarkEnd w:id="17"/>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18、2020年结转项目资金（\“十四五\”发展规划编制经费）绩效目标表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13102621TLUAZID6KDF64</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年结转项目资金（</w:t>
            </w:r>
            <w:r>
              <w:rPr>
                <w:rFonts w:hint="cs" w:ascii="仿宋" w:hAnsi="仿宋" w:eastAsia="仿宋"/>
                <w:sz w:val="32"/>
                <w:szCs w:val="32"/>
              </w:rPr>
              <w:t>“</w:t>
            </w:r>
            <w:r>
              <w:rPr>
                <w:rFonts w:hint="eastAsia" w:ascii="仿宋" w:hAnsi="仿宋" w:eastAsia="仿宋"/>
                <w:sz w:val="32"/>
                <w:szCs w:val="32"/>
              </w:rPr>
              <w:t>十四五</w:t>
            </w:r>
            <w:r>
              <w:rPr>
                <w:rFonts w:hint="cs" w:ascii="仿宋" w:hAnsi="仿宋" w:eastAsia="仿宋"/>
                <w:sz w:val="32"/>
                <w:szCs w:val="32"/>
              </w:rPr>
              <w:t>”</w:t>
            </w:r>
            <w:r>
              <w:rPr>
                <w:rFonts w:hint="eastAsia" w:ascii="仿宋" w:hAnsi="仿宋" w:eastAsia="仿宋"/>
                <w:sz w:val="32"/>
                <w:szCs w:val="32"/>
              </w:rPr>
              <w:t>发展规划编制经费）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453000.00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453000.00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用于支付</w:t>
            </w:r>
            <w:r>
              <w:rPr>
                <w:rFonts w:hint="cs" w:ascii="仿宋" w:hAnsi="仿宋" w:eastAsia="仿宋"/>
                <w:sz w:val="32"/>
                <w:szCs w:val="32"/>
              </w:rPr>
              <w:t>“</w:t>
            </w:r>
            <w:r>
              <w:rPr>
                <w:rFonts w:hint="eastAsia" w:ascii="仿宋" w:hAnsi="仿宋" w:eastAsia="仿宋"/>
                <w:sz w:val="32"/>
                <w:szCs w:val="32"/>
              </w:rPr>
              <w:t>十四五</w:t>
            </w:r>
            <w:r>
              <w:rPr>
                <w:rFonts w:hint="cs" w:ascii="仿宋" w:hAnsi="仿宋" w:eastAsia="仿宋"/>
                <w:sz w:val="32"/>
                <w:szCs w:val="32"/>
              </w:rPr>
              <w:t>”</w:t>
            </w:r>
            <w:r>
              <w:rPr>
                <w:rFonts w:hint="eastAsia" w:ascii="仿宋" w:hAnsi="仿宋" w:eastAsia="仿宋"/>
                <w:sz w:val="32"/>
                <w:szCs w:val="32"/>
              </w:rPr>
              <w:t>发展规划编制费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按时拨付</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完成专题研究报告数量</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完成专题研究报告数量</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篇</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研究成果评审合格率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评审合格的研究成果数量占总研究数量比例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研究课题按时结题率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研究课题按时结题率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成果应用率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得以应用的研究成果数量占总成果数量比例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实际反映</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8" w:name="_Toc67927862"/>
      <w:r>
        <w:rPr>
          <w:rFonts w:hint="eastAsia" w:ascii="仿宋" w:hAnsi="仿宋" w:eastAsia="仿宋"/>
          <w:b/>
          <w:sz w:val="32"/>
          <w:szCs w:val="32"/>
        </w:rPr>
        <w:t>19.商业系统改制资金绩效目标表</w:t>
      </w:r>
      <w:bookmarkEnd w:id="18"/>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19、商业系统改制资金绩效目标表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13102621TSSC6D8RM2QE9</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商业系统改制资金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20240000.00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20240000.00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用于解决商业系统各企业养老保险等支出，共计</w:t>
            </w:r>
            <w:r>
              <w:rPr>
                <w:rFonts w:ascii="仿宋" w:hAnsi="仿宋" w:eastAsia="仿宋"/>
                <w:sz w:val="32"/>
                <w:szCs w:val="32"/>
              </w:rPr>
              <w:t>2024</w:t>
            </w:r>
            <w:r>
              <w:rPr>
                <w:rFonts w:hint="eastAsia" w:ascii="仿宋" w:hAnsi="仿宋" w:eastAsia="仿宋"/>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按时足额缴纳养老保险，保障全体职工享受合法权益。</w:t>
            </w:r>
          </w:p>
          <w:p>
            <w:pPr>
              <w:spacing w:line="300" w:lineRule="exact"/>
              <w:jc w:val="left"/>
              <w:rPr>
                <w:rFonts w:ascii="仿宋" w:hAnsi="仿宋" w:eastAsia="仿宋"/>
                <w:sz w:val="32"/>
                <w:szCs w:val="32"/>
              </w:rPr>
            </w:pPr>
            <w:r>
              <w:rPr>
                <w:rFonts w:ascii="仿宋" w:hAnsi="仿宋" w:eastAsia="仿宋"/>
                <w:sz w:val="32"/>
                <w:szCs w:val="32"/>
              </w:rPr>
              <w:t>2.2021</w:t>
            </w:r>
            <w:r>
              <w:rPr>
                <w:rFonts w:hint="eastAsia" w:ascii="仿宋" w:hAnsi="仿宋" w:eastAsia="仿宋"/>
                <w:sz w:val="32"/>
                <w:szCs w:val="32"/>
              </w:rPr>
              <w:t>年底完成拨付。</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职工满意度≥</w:t>
            </w:r>
            <w:r>
              <w:rPr>
                <w:rFonts w:ascii="仿宋" w:hAnsi="仿宋" w:eastAsia="仿宋"/>
                <w:sz w:val="32"/>
                <w:szCs w:val="32"/>
              </w:rPr>
              <w:t>95%</w:t>
            </w:r>
            <w:r>
              <w:rPr>
                <w:rFonts w:hint="eastAsia" w:ascii="仿宋" w:hAnsi="仿宋" w:eastAsia="仿宋"/>
                <w:sz w:val="32"/>
                <w:szCs w:val="32"/>
              </w:rPr>
              <w:t>。</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社会保险补贴到位</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经审核符合领取社会保险补贴条件的人员人数占申报人数比例</w:t>
            </w:r>
            <w:r>
              <w:rPr>
                <w:rFonts w:ascii="仿宋" w:hAnsi="仿宋" w:eastAsia="仿宋"/>
                <w:sz w:val="32"/>
                <w:szCs w:val="32"/>
              </w:rPr>
              <w:t>100%</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根据测算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足额缴纳</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按比例足额缴纳养老保险</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保险缴纳准确率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在规定时间内按要求和计划完成缴纳保险的金额在总金额的比例</w:t>
            </w:r>
            <w:r>
              <w:rPr>
                <w:rFonts w:ascii="仿宋" w:hAnsi="仿宋" w:eastAsia="仿宋"/>
                <w:sz w:val="32"/>
                <w:szCs w:val="32"/>
              </w:rPr>
              <w:t>%</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在规定时间内按要求和计划完成缴纳保险的金额在总金额的比例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社会影响力</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在我县产生的重要影响，得到受益者的充分认可</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受益群体满意度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受益人群对养老保险工作提供服务的满意程度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调查走访</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19" w:name="_Toc67927863"/>
      <w:r>
        <w:rPr>
          <w:rFonts w:hint="eastAsia" w:ascii="仿宋" w:hAnsi="仿宋" w:eastAsia="仿宋"/>
          <w:b/>
          <w:sz w:val="32"/>
          <w:szCs w:val="32"/>
        </w:rPr>
        <w:t>20.原商业总公司机关人员养老医疗保险经费绩效目标表</w:t>
      </w:r>
      <w:bookmarkEnd w:id="19"/>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20、原商业总公司机关人员养老医疗保险经费绩效目标表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13102621TWDCZG2FGUKKC</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原商业总公司机关人员养老医疗保险经费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306400.00</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306400.00</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从</w:t>
            </w:r>
            <w:r>
              <w:rPr>
                <w:rFonts w:ascii="仿宋" w:hAnsi="仿宋" w:eastAsia="仿宋"/>
                <w:sz w:val="32"/>
                <w:szCs w:val="32"/>
              </w:rPr>
              <w:t>2017</w:t>
            </w:r>
            <w:r>
              <w:rPr>
                <w:rFonts w:hint="eastAsia" w:ascii="仿宋" w:hAnsi="仿宋" w:eastAsia="仿宋"/>
                <w:sz w:val="32"/>
                <w:szCs w:val="32"/>
              </w:rPr>
              <w:t>年开始安排原商业总公司机关人员养老保险经费纳入预算管理项目，用于解决原县商业总公司</w:t>
            </w:r>
            <w:r>
              <w:rPr>
                <w:rFonts w:ascii="仿宋" w:hAnsi="仿宋" w:eastAsia="仿宋"/>
                <w:sz w:val="32"/>
                <w:szCs w:val="32"/>
              </w:rPr>
              <w:t>24</w:t>
            </w:r>
            <w:r>
              <w:rPr>
                <w:rFonts w:hint="eastAsia" w:ascii="仿宋" w:hAnsi="仿宋" w:eastAsia="仿宋"/>
                <w:sz w:val="32"/>
                <w:szCs w:val="32"/>
              </w:rPr>
              <w:t>名人员养老保险问题，一直缴到该</w:t>
            </w:r>
            <w:r>
              <w:rPr>
                <w:rFonts w:ascii="仿宋" w:hAnsi="仿宋" w:eastAsia="仿宋"/>
                <w:sz w:val="32"/>
                <w:szCs w:val="32"/>
              </w:rPr>
              <w:t>24</w:t>
            </w:r>
            <w:r>
              <w:rPr>
                <w:rFonts w:hint="eastAsia" w:ascii="仿宋" w:hAnsi="仿宋" w:eastAsia="仿宋"/>
                <w:sz w:val="32"/>
                <w:szCs w:val="32"/>
              </w:rPr>
              <w:t>名人员全部退休结束。商业有限总公司机关</w:t>
            </w:r>
            <w:r>
              <w:rPr>
                <w:rFonts w:ascii="仿宋" w:hAnsi="仿宋" w:eastAsia="仿宋"/>
                <w:sz w:val="32"/>
                <w:szCs w:val="32"/>
              </w:rPr>
              <w:t>24</w:t>
            </w:r>
            <w:r>
              <w:rPr>
                <w:rFonts w:hint="eastAsia" w:ascii="仿宋" w:hAnsi="仿宋" w:eastAsia="仿宋"/>
                <w:sz w:val="32"/>
                <w:szCs w:val="32"/>
              </w:rPr>
              <w:t>人员养老保险纳入财政预算。现已退休</w:t>
            </w:r>
            <w:r>
              <w:rPr>
                <w:rFonts w:ascii="仿宋" w:hAnsi="仿宋" w:eastAsia="仿宋"/>
                <w:sz w:val="32"/>
                <w:szCs w:val="32"/>
              </w:rPr>
              <w:t>2</w:t>
            </w:r>
            <w:r>
              <w:rPr>
                <w:rFonts w:hint="eastAsia" w:ascii="仿宋" w:hAnsi="仿宋" w:eastAsia="仿宋"/>
                <w:sz w:val="32"/>
                <w:szCs w:val="32"/>
              </w:rPr>
              <w:t>人，死亡</w:t>
            </w:r>
            <w:r>
              <w:rPr>
                <w:rFonts w:ascii="仿宋" w:hAnsi="仿宋" w:eastAsia="仿宋"/>
                <w:sz w:val="32"/>
                <w:szCs w:val="32"/>
              </w:rPr>
              <w:t>1</w:t>
            </w:r>
            <w:r>
              <w:rPr>
                <w:rFonts w:hint="eastAsia" w:ascii="仿宋" w:hAnsi="仿宋" w:eastAsia="仿宋"/>
                <w:sz w:val="32"/>
                <w:szCs w:val="32"/>
              </w:rPr>
              <w:t>人，剩余</w:t>
            </w:r>
            <w:r>
              <w:rPr>
                <w:rFonts w:ascii="仿宋" w:hAnsi="仿宋" w:eastAsia="仿宋"/>
                <w:sz w:val="32"/>
                <w:szCs w:val="32"/>
              </w:rPr>
              <w:t>21</w:t>
            </w:r>
            <w:r>
              <w:rPr>
                <w:rFonts w:hint="eastAsia" w:ascii="仿宋" w:hAnsi="仿宋" w:eastAsia="仿宋"/>
                <w:sz w:val="32"/>
                <w:szCs w:val="32"/>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社会保险补贴到位</w:t>
            </w:r>
            <w:r>
              <w:rPr>
                <w:rFonts w:ascii="仿宋" w:hAnsi="仿宋" w:eastAsia="仿宋"/>
                <w:sz w:val="32"/>
                <w:szCs w:val="32"/>
              </w:rPr>
              <w:t>100%</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足额缴纳</w:t>
            </w:r>
            <w:r>
              <w:rPr>
                <w:rFonts w:ascii="仿宋" w:hAnsi="仿宋" w:eastAsia="仿宋"/>
                <w:sz w:val="32"/>
                <w:szCs w:val="32"/>
              </w:rPr>
              <w:t>100%</w:t>
            </w:r>
          </w:p>
          <w:p>
            <w:pPr>
              <w:spacing w:line="300" w:lineRule="exact"/>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服务对象满意度</w:t>
            </w:r>
            <w:r>
              <w:rPr>
                <w:rFonts w:ascii="仿宋" w:hAnsi="仿宋" w:eastAsia="仿宋"/>
                <w:sz w:val="32"/>
                <w:szCs w:val="32"/>
              </w:rPr>
              <w:t>95%</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社会保险补贴到位</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经审核符合领取社会保险补贴条件的人员人数</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21</w:t>
            </w:r>
            <w:r>
              <w:rPr>
                <w:rFonts w:hint="eastAsia" w:ascii="仿宋" w:hAnsi="仿宋" w:eastAsia="仿宋"/>
                <w:sz w:val="32"/>
                <w:szCs w:val="32"/>
              </w:rPr>
              <w:t>人</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社会保险补贴到位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足额缴纳</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按比例足额缴纳养老保险</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&gt;100%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保险缴纳准确率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完成率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按要求和计划完成缴纳保险的金额在总金额的比例（百分比）</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99%</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按要求和计划完成缴纳保险的金额在总金额的比例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社会影响力</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在我县产生的重要影响，得到收益者的充分认可</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21</w:t>
            </w:r>
            <w:r>
              <w:rPr>
                <w:rFonts w:hint="eastAsia" w:ascii="仿宋" w:hAnsi="仿宋" w:eastAsia="仿宋"/>
                <w:sz w:val="32"/>
                <w:szCs w:val="32"/>
              </w:rPr>
              <w:t>人</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养老保险金的拨付得到受益人的充分认可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受益人群对养老保险工作提供服务的满意程度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调查受益群众满意占总调查人数的比例</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 w:val="32"/>
          <w:szCs w:val="32"/>
        </w:rPr>
      </w:pPr>
    </w:p>
    <w:p>
      <w:pPr>
        <w:ind w:firstLine="643" w:firstLineChars="200"/>
        <w:jc w:val="left"/>
        <w:outlineLvl w:val="3"/>
        <w:rPr>
          <w:rFonts w:ascii="仿宋" w:hAnsi="仿宋" w:eastAsia="仿宋"/>
          <w:b/>
          <w:sz w:val="32"/>
          <w:szCs w:val="32"/>
        </w:rPr>
      </w:pPr>
      <w:bookmarkStart w:id="20" w:name="_Toc67927864"/>
      <w:r>
        <w:rPr>
          <w:rFonts w:hint="eastAsia" w:ascii="仿宋" w:hAnsi="仿宋" w:eastAsia="仿宋"/>
          <w:b/>
          <w:sz w:val="32"/>
          <w:szCs w:val="32"/>
        </w:rPr>
        <w:t>21.2020年结转项目资金（维修库房资金）绩效目标表</w:t>
      </w:r>
      <w:bookmarkEnd w:id="20"/>
      <w:r>
        <w:rPr>
          <w:rFonts w:ascii="仿宋" w:hAnsi="仿宋" w:eastAsia="仿宋"/>
          <w:b/>
          <w:sz w:val="32"/>
          <w:szCs w:val="32"/>
        </w:rPr>
        <w:fldChar w:fldCharType="begin"/>
      </w:r>
      <w:r>
        <w:rPr>
          <w:rFonts w:ascii="仿宋" w:hAnsi="仿宋" w:eastAsia="仿宋"/>
          <w:b/>
          <w:sz w:val="32"/>
          <w:szCs w:val="32"/>
        </w:rPr>
        <w:instrText xml:space="preserve"> </w:instrText>
      </w:r>
      <w:r>
        <w:rPr>
          <w:rFonts w:hint="eastAsia" w:ascii="仿宋" w:hAnsi="仿宋" w:eastAsia="仿宋"/>
          <w:b/>
          <w:sz w:val="32"/>
          <w:szCs w:val="32"/>
        </w:rPr>
        <w:instrText xml:space="preserve">TC 21、2020年结转项目资金（维修库房资金）绩效目标表 \f C \l 1</w:instrText>
      </w:r>
      <w:r>
        <w:rPr>
          <w:rFonts w:ascii="仿宋" w:hAnsi="仿宋" w:eastAsia="仿宋"/>
          <w:b/>
          <w:sz w:val="32"/>
          <w:szCs w:val="32"/>
        </w:rPr>
        <w:instrText xml:space="preserve"> </w:instrText>
      </w:r>
      <w:r>
        <w:rPr>
          <w:rFonts w:ascii="仿宋" w:hAnsi="仿宋" w:eastAsia="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 w:val="32"/>
                <w:szCs w:val="32"/>
              </w:rPr>
            </w:pPr>
            <w:r>
              <w:rPr>
                <w:rFonts w:ascii="仿宋" w:hAnsi="仿宋" w:eastAsia="仿宋"/>
                <w:b/>
                <w:sz w:val="32"/>
                <w:szCs w:val="32"/>
              </w:rPr>
              <w:t>106001</w:t>
            </w:r>
            <w:r>
              <w:rPr>
                <w:rFonts w:hint="eastAsia" w:ascii="仿宋" w:hAnsi="仿宋" w:eastAsia="仿宋"/>
                <w:b/>
                <w:sz w:val="32"/>
                <w:szCs w:val="32"/>
              </w:rPr>
              <w:t>文安县发展和改革局本级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项目编码</w:t>
            </w:r>
          </w:p>
        </w:tc>
        <w:tc>
          <w:tcPr>
            <w:tcW w:w="2410" w:type="dxa"/>
            <w:gridSpan w:val="2"/>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13102621WGFG6T821MDCL</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4281" w:type="dxa"/>
            <w:gridSpan w:val="3"/>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年结转项目资金（维修库房资金）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预算规模及资金用途</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预算数</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1459603.76</w:t>
            </w:r>
          </w:p>
        </w:tc>
        <w:tc>
          <w:tcPr>
            <w:tcW w:w="158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其中：财政资金</w:t>
            </w:r>
          </w:p>
        </w:tc>
        <w:tc>
          <w:tcPr>
            <w:tcW w:w="1304"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1459603.76</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其他资金</w:t>
            </w:r>
          </w:p>
        </w:tc>
        <w:tc>
          <w:tcPr>
            <w:tcW w:w="1701"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 w:val="32"/>
                <w:szCs w:val="32"/>
              </w:rPr>
            </w:pPr>
          </w:p>
        </w:tc>
        <w:tc>
          <w:tcPr>
            <w:tcW w:w="8278" w:type="dxa"/>
            <w:gridSpan w:val="6"/>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用于拨付文丰宜丰修库费用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资金支出计划（</w:t>
            </w:r>
            <w:r>
              <w:rPr>
                <w:rFonts w:ascii="仿宋" w:hAnsi="仿宋" w:eastAsia="仿宋"/>
                <w:b/>
                <w:sz w:val="32"/>
                <w:szCs w:val="32"/>
              </w:rPr>
              <w:t>%</w:t>
            </w:r>
            <w:r>
              <w:rPr>
                <w:rFonts w:hint="eastAsia" w:ascii="仿宋" w:hAnsi="仿宋" w:eastAsia="仿宋"/>
                <w:b/>
                <w:sz w:val="32"/>
                <w:szCs w:val="32"/>
              </w:rPr>
              <w:t>）</w:t>
            </w:r>
          </w:p>
        </w:tc>
        <w:tc>
          <w:tcPr>
            <w:tcW w:w="2410"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月底</w:t>
            </w:r>
          </w:p>
        </w:tc>
        <w:tc>
          <w:tcPr>
            <w:tcW w:w="1587"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月底</w:t>
            </w:r>
          </w:p>
        </w:tc>
        <w:tc>
          <w:tcPr>
            <w:tcW w:w="1304" w:type="dxa"/>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月底</w:t>
            </w:r>
          </w:p>
        </w:tc>
        <w:tc>
          <w:tcPr>
            <w:tcW w:w="2977" w:type="dxa"/>
            <w:gridSpan w:val="2"/>
            <w:shd w:val="clear" w:color="auto" w:fill="auto"/>
            <w:vAlign w:val="center"/>
          </w:tcPr>
          <w:p>
            <w:pPr>
              <w:spacing w:line="300" w:lineRule="exact"/>
              <w:jc w:val="center"/>
              <w:rPr>
                <w:rFonts w:ascii="仿宋" w:hAnsi="仿宋" w:eastAsia="仿宋"/>
                <w:b/>
                <w:sz w:val="32"/>
                <w:szCs w:val="32"/>
              </w:rPr>
            </w:pPr>
            <w:r>
              <w:rPr>
                <w:rFonts w:ascii="仿宋" w:hAnsi="仿宋" w:eastAsia="仿宋"/>
                <w:b/>
                <w:sz w:val="32"/>
                <w:szCs w:val="32"/>
              </w:rPr>
              <w:t>12</w:t>
            </w:r>
            <w:r>
              <w:rPr>
                <w:rFonts w:hint="eastAsia" w:ascii="仿宋" w:hAnsi="仿宋" w:eastAsia="仿宋"/>
                <w:b/>
                <w:sz w:val="32"/>
                <w:szCs w:val="32"/>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 w:val="32"/>
                <w:szCs w:val="32"/>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验收合格率</w:t>
            </w:r>
            <w:r>
              <w:rPr>
                <w:rFonts w:ascii="仿宋" w:hAnsi="仿宋" w:eastAsia="仿宋"/>
                <w:sz w:val="32"/>
                <w:szCs w:val="32"/>
              </w:rPr>
              <w:t>100%</w:t>
            </w:r>
          </w:p>
          <w:p>
            <w:pPr>
              <w:spacing w:line="300" w:lineRule="exact"/>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按时拨付</w:t>
            </w:r>
          </w:p>
        </w:tc>
      </w:tr>
    </w:tbl>
    <w:p>
      <w:pPr>
        <w:spacing w:line="14" w:lineRule="exact"/>
        <w:jc w:val="center"/>
        <w:rPr>
          <w:rFonts w:ascii="仿宋" w:hAnsi="仿宋" w:eastAsia="仿宋"/>
          <w:sz w:val="32"/>
          <w:szCs w:val="32"/>
        </w:rPr>
      </w:pPr>
      <w:r>
        <w:rPr>
          <w:rFonts w:ascii="仿宋" w:hAnsi="仿宋" w:eastAsia="仿宋"/>
          <w:sz w:val="32"/>
          <w:szCs w:val="32"/>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一级指标</w:t>
            </w:r>
          </w:p>
        </w:tc>
        <w:tc>
          <w:tcPr>
            <w:tcW w:w="1134"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二级指标</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三级指标</w:t>
            </w:r>
          </w:p>
        </w:tc>
        <w:tc>
          <w:tcPr>
            <w:tcW w:w="289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绩效指标描述</w:t>
            </w:r>
          </w:p>
        </w:tc>
        <w:tc>
          <w:tcPr>
            <w:tcW w:w="1276"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w:t>
            </w:r>
          </w:p>
        </w:tc>
        <w:tc>
          <w:tcPr>
            <w:tcW w:w="1701"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产出指标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数量指标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施工面积</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实际施工面积占规划面积比例</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质量指标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项目竣工验收合格率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项目竣工验收合格率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 w:val="32"/>
                <w:szCs w:val="32"/>
              </w:rPr>
            </w:pP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时效指标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项目按期完成率</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项目按期完成率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效益指标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社会效益指标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提供履职基础服务社会</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提供良好履职基础，服务社会发展能力</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满意度指标</w:t>
            </w:r>
          </w:p>
        </w:tc>
        <w:tc>
          <w:tcPr>
            <w:tcW w:w="1134"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服务对象满意度指标</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使用人员满意度</w:t>
            </w:r>
          </w:p>
        </w:tc>
        <w:tc>
          <w:tcPr>
            <w:tcW w:w="289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使用人员满意度</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1701"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实际完成</w:t>
            </w:r>
          </w:p>
        </w:tc>
      </w:tr>
    </w:tbl>
    <w:p>
      <w:pPr>
        <w:spacing w:line="300" w:lineRule="exact"/>
        <w:jc w:val="left"/>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bookmarkStart w:id="21" w:name="_Toc471398468"/>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177</w:t>
      </w:r>
      <w:r>
        <w:rPr>
          <w:rFonts w:ascii="Times New Roman" w:hAnsi="Times New Roman" w:eastAsia="仿宋_GB2312" w:cs="Times New Roman"/>
          <w:sz w:val="32"/>
          <w:szCs w:val="24"/>
        </w:rPr>
        <w:t>万元。具体内容见下表。</w:t>
      </w:r>
    </w:p>
    <w:bookmarkEnd w:id="21"/>
    <w:p>
      <w:pPr>
        <w:jc w:val="center"/>
        <w:outlineLvl w:val="1"/>
        <w:rPr>
          <w:rFonts w:ascii="Times New Roman" w:hAnsi="Times New Roman" w:cs="Times New Roman"/>
          <w:sz w:val="32"/>
        </w:rPr>
      </w:pPr>
      <w:bookmarkStart w:id="22" w:name="_Toc64920910"/>
      <w:r>
        <w:rPr>
          <w:rFonts w:hint="eastAsia" w:ascii="方正小标宋_GBK" w:eastAsia="方正小标宋_GBK" w:cs="Times New Roman"/>
          <w:sz w:val="32"/>
        </w:rPr>
        <w:t>部门政府采购预算</w:t>
      </w:r>
      <w:bookmarkEnd w:id="22"/>
    </w:p>
    <w:tbl>
      <w:tblPr>
        <w:tblStyle w:val="9"/>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3"/>
        <w:gridCol w:w="556"/>
        <w:gridCol w:w="559"/>
        <w:gridCol w:w="1390"/>
        <w:gridCol w:w="973"/>
        <w:gridCol w:w="973"/>
        <w:gridCol w:w="835"/>
        <w:gridCol w:w="835"/>
        <w:gridCol w:w="1252"/>
        <w:gridCol w:w="3333"/>
        <w:gridCol w:w="1114"/>
        <w:gridCol w:w="1114"/>
        <w:gridCol w:w="1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08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文安县发展和改革局</w:t>
            </w:r>
          </w:p>
        </w:tc>
        <w:tc>
          <w:tcPr>
            <w:tcW w:w="291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509" w:type="pct"/>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86"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463"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324"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324"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278"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2916" w:type="pct"/>
            <w:gridSpan w:val="6"/>
            <w:shd w:val="clear" w:color="auto" w:fill="auto"/>
            <w:vAlign w:val="center"/>
          </w:tcPr>
          <w:p>
            <w:pPr>
              <w:spacing w:line="300" w:lineRule="exact"/>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324"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85"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86" w:type="pct"/>
            <w:vMerge w:val="continue"/>
            <w:shd w:val="clear" w:color="auto" w:fill="auto"/>
            <w:vAlign w:val="center"/>
          </w:tcPr>
          <w:p/>
        </w:tc>
        <w:tc>
          <w:tcPr>
            <w:tcW w:w="463" w:type="pct"/>
            <w:vMerge w:val="continue"/>
            <w:shd w:val="clear" w:color="auto" w:fill="auto"/>
            <w:vAlign w:val="center"/>
          </w:tcPr>
          <w:p/>
        </w:tc>
        <w:tc>
          <w:tcPr>
            <w:tcW w:w="324" w:type="pct"/>
            <w:vMerge w:val="continue"/>
            <w:shd w:val="clear" w:color="auto" w:fill="auto"/>
            <w:vAlign w:val="center"/>
          </w:tcPr>
          <w:p/>
        </w:tc>
        <w:tc>
          <w:tcPr>
            <w:tcW w:w="324" w:type="pct"/>
            <w:vMerge w:val="continue"/>
            <w:shd w:val="clear" w:color="auto" w:fill="auto"/>
            <w:vAlign w:val="center"/>
          </w:tcPr>
          <w:p/>
        </w:tc>
        <w:tc>
          <w:tcPr>
            <w:tcW w:w="278" w:type="pct"/>
            <w:vMerge w:val="continue"/>
            <w:shd w:val="clear" w:color="auto" w:fill="auto"/>
            <w:vAlign w:val="center"/>
          </w:tcPr>
          <w:p/>
        </w:tc>
        <w:tc>
          <w:tcPr>
            <w:tcW w:w="278"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417"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10"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371"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371"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369"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324"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85" w:type="pct"/>
            <w:shd w:val="clear" w:color="auto" w:fill="auto"/>
            <w:vAlign w:val="center"/>
          </w:tcPr>
          <w:p>
            <w:pPr>
              <w:spacing w:line="300" w:lineRule="exact"/>
              <w:jc w:val="right"/>
              <w:rPr>
                <w:rFonts w:ascii="方正书宋_GBK" w:eastAsia="方正书宋_GBK" w:cs="Times New Roman"/>
                <w:b/>
              </w:rPr>
            </w:pPr>
          </w:p>
        </w:tc>
        <w:tc>
          <w:tcPr>
            <w:tcW w:w="186" w:type="pct"/>
            <w:shd w:val="clear" w:color="auto" w:fill="auto"/>
            <w:vAlign w:val="center"/>
          </w:tcPr>
          <w:p>
            <w:pPr>
              <w:spacing w:line="300" w:lineRule="exact"/>
              <w:jc w:val="left"/>
              <w:rPr>
                <w:rFonts w:ascii="方正书宋_GBK" w:eastAsia="方正书宋_GBK" w:cs="Times New Roman"/>
                <w:b/>
              </w:rPr>
            </w:pPr>
          </w:p>
        </w:tc>
        <w:tc>
          <w:tcPr>
            <w:tcW w:w="463" w:type="pct"/>
            <w:shd w:val="clear" w:color="auto" w:fill="auto"/>
            <w:vAlign w:val="center"/>
          </w:tcPr>
          <w:p>
            <w:pPr>
              <w:spacing w:line="300" w:lineRule="exact"/>
              <w:jc w:val="left"/>
              <w:rPr>
                <w:rFonts w:ascii="方正书宋_GBK" w:eastAsia="方正书宋_GBK" w:cs="Times New Roman"/>
                <w:b/>
              </w:rPr>
            </w:pPr>
          </w:p>
        </w:tc>
        <w:tc>
          <w:tcPr>
            <w:tcW w:w="324" w:type="pct"/>
            <w:shd w:val="clear" w:color="auto" w:fill="auto"/>
            <w:vAlign w:val="center"/>
          </w:tcPr>
          <w:p>
            <w:pPr>
              <w:spacing w:line="300" w:lineRule="exact"/>
              <w:jc w:val="center"/>
              <w:rPr>
                <w:rFonts w:ascii="方正书宋_GBK" w:eastAsia="方正书宋_GBK" w:cs="Times New Roman"/>
                <w:b/>
              </w:rPr>
            </w:pPr>
          </w:p>
        </w:tc>
        <w:tc>
          <w:tcPr>
            <w:tcW w:w="324" w:type="pct"/>
            <w:shd w:val="clear" w:color="auto" w:fill="auto"/>
            <w:vAlign w:val="center"/>
          </w:tcPr>
          <w:p>
            <w:pPr>
              <w:spacing w:line="300" w:lineRule="exact"/>
              <w:jc w:val="right"/>
              <w:rPr>
                <w:rFonts w:ascii="方正书宋_GBK" w:eastAsia="方正书宋_GBK" w:cs="Times New Roman"/>
                <w:b/>
              </w:rPr>
            </w:pPr>
          </w:p>
        </w:tc>
        <w:tc>
          <w:tcPr>
            <w:tcW w:w="278" w:type="pct"/>
            <w:shd w:val="clear" w:color="auto" w:fill="auto"/>
            <w:vAlign w:val="center"/>
          </w:tcPr>
          <w:p>
            <w:pPr>
              <w:spacing w:line="300" w:lineRule="exact"/>
              <w:jc w:val="right"/>
              <w:rPr>
                <w:rFonts w:ascii="方正书宋_GBK" w:eastAsia="方正书宋_GBK" w:cs="Times New Roman"/>
                <w:b/>
              </w:rPr>
            </w:pPr>
          </w:p>
        </w:tc>
        <w:tc>
          <w:tcPr>
            <w:tcW w:w="278" w:type="pct"/>
            <w:shd w:val="clear" w:color="auto" w:fill="auto"/>
            <w:vAlign w:val="center"/>
          </w:tcPr>
          <w:p>
            <w:pPr>
              <w:spacing w:line="300" w:lineRule="exact"/>
              <w:jc w:val="right"/>
              <w:rPr>
                <w:rFonts w:ascii="方正书宋_GBK" w:eastAsia="方正书宋_GBK" w:cs="Times New Roman"/>
                <w:b/>
              </w:rPr>
            </w:pPr>
          </w:p>
        </w:tc>
        <w:tc>
          <w:tcPr>
            <w:tcW w:w="417" w:type="pct"/>
            <w:shd w:val="clear" w:color="auto" w:fill="auto"/>
            <w:vAlign w:val="center"/>
          </w:tcPr>
          <w:p>
            <w:pPr>
              <w:spacing w:line="300" w:lineRule="exact"/>
              <w:jc w:val="right"/>
              <w:rPr>
                <w:rFonts w:ascii="方正书宋_GBK" w:eastAsia="方正书宋_GBK" w:cs="Times New Roman"/>
                <w:b/>
              </w:rPr>
            </w:pPr>
          </w:p>
        </w:tc>
        <w:tc>
          <w:tcPr>
            <w:tcW w:w="1110" w:type="pct"/>
            <w:shd w:val="clear" w:color="auto" w:fill="auto"/>
            <w:vAlign w:val="center"/>
          </w:tcPr>
          <w:p>
            <w:pPr>
              <w:spacing w:line="300" w:lineRule="exact"/>
              <w:ind w:right="420"/>
              <w:rPr>
                <w:rFonts w:ascii="方正书宋_GBK" w:eastAsia="方正书宋_GBK" w:cs="Times New Roman"/>
                <w:b/>
              </w:rPr>
            </w:pPr>
          </w:p>
        </w:tc>
        <w:tc>
          <w:tcPr>
            <w:tcW w:w="371" w:type="pct"/>
            <w:shd w:val="clear" w:color="auto" w:fill="auto"/>
            <w:vAlign w:val="center"/>
          </w:tcPr>
          <w:p>
            <w:pPr>
              <w:spacing w:line="300" w:lineRule="exact"/>
              <w:jc w:val="right"/>
              <w:rPr>
                <w:rFonts w:ascii="方正书宋_GBK" w:eastAsia="方正书宋_GBK" w:cs="Times New Roman"/>
                <w:b/>
              </w:rPr>
            </w:pPr>
          </w:p>
        </w:tc>
        <w:tc>
          <w:tcPr>
            <w:tcW w:w="371" w:type="pct"/>
            <w:shd w:val="clear" w:color="auto" w:fill="auto"/>
            <w:vAlign w:val="center"/>
          </w:tcPr>
          <w:p>
            <w:pPr>
              <w:spacing w:line="300" w:lineRule="exact"/>
              <w:jc w:val="right"/>
              <w:rPr>
                <w:rFonts w:ascii="方正书宋_GBK" w:eastAsia="方正书宋_GBK" w:cs="Times New Roman"/>
                <w:b/>
              </w:rPr>
            </w:pPr>
          </w:p>
        </w:tc>
        <w:tc>
          <w:tcPr>
            <w:tcW w:w="369" w:type="pct"/>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324" w:type="pc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2022年投资环境推介会暨项目签约活动</w:t>
            </w:r>
          </w:p>
        </w:tc>
        <w:tc>
          <w:tcPr>
            <w:tcW w:w="185" w:type="pct"/>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177</w:t>
            </w:r>
          </w:p>
        </w:tc>
        <w:tc>
          <w:tcPr>
            <w:tcW w:w="186" w:type="pct"/>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购买服务</w:t>
            </w:r>
          </w:p>
        </w:tc>
        <w:tc>
          <w:tcPr>
            <w:tcW w:w="463" w:type="pct"/>
            <w:shd w:val="clear" w:color="auto" w:fill="auto"/>
            <w:vAlign w:val="center"/>
          </w:tcPr>
          <w:p>
            <w:pPr>
              <w:spacing w:line="300" w:lineRule="exact"/>
              <w:jc w:val="left"/>
              <w:rPr>
                <w:rFonts w:ascii="方正书宋_GBK" w:eastAsia="方正书宋_GBK" w:cs="Times New Roman"/>
                <w:b/>
              </w:rPr>
            </w:pPr>
          </w:p>
        </w:tc>
        <w:tc>
          <w:tcPr>
            <w:tcW w:w="324" w:type="pct"/>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次</w:t>
            </w:r>
          </w:p>
        </w:tc>
        <w:tc>
          <w:tcPr>
            <w:tcW w:w="324" w:type="pct"/>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w:t>
            </w:r>
          </w:p>
        </w:tc>
        <w:tc>
          <w:tcPr>
            <w:tcW w:w="278" w:type="pct"/>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177</w:t>
            </w:r>
          </w:p>
        </w:tc>
        <w:tc>
          <w:tcPr>
            <w:tcW w:w="278" w:type="pct"/>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177</w:t>
            </w:r>
          </w:p>
        </w:tc>
        <w:tc>
          <w:tcPr>
            <w:tcW w:w="417" w:type="pct"/>
            <w:shd w:val="clear" w:color="auto" w:fill="auto"/>
            <w:vAlign w:val="center"/>
          </w:tcPr>
          <w:p>
            <w:pPr>
              <w:spacing w:line="300" w:lineRule="exact"/>
              <w:jc w:val="right"/>
              <w:rPr>
                <w:rFonts w:ascii="方正书宋_GBK" w:eastAsia="方正书宋_GBK" w:cs="Times New Roman"/>
                <w:b/>
              </w:rPr>
            </w:pPr>
          </w:p>
        </w:tc>
        <w:tc>
          <w:tcPr>
            <w:tcW w:w="1110" w:type="pct"/>
            <w:shd w:val="clear" w:color="auto" w:fill="auto"/>
            <w:vAlign w:val="center"/>
          </w:tcPr>
          <w:p>
            <w:pPr>
              <w:spacing w:line="300" w:lineRule="exact"/>
              <w:ind w:right="420"/>
              <w:rPr>
                <w:rFonts w:ascii="方正书宋_GBK" w:eastAsia="方正书宋_GBK" w:cs="Times New Roman"/>
                <w:b/>
              </w:rPr>
            </w:pPr>
            <w:r>
              <w:rPr>
                <w:rFonts w:hint="eastAsia" w:ascii="方正书宋_GBK" w:eastAsia="方正书宋_GBK" w:cs="Times New Roman"/>
                <w:b/>
              </w:rPr>
              <w:t>177</w:t>
            </w:r>
          </w:p>
        </w:tc>
        <w:tc>
          <w:tcPr>
            <w:tcW w:w="371" w:type="pct"/>
            <w:shd w:val="clear" w:color="auto" w:fill="auto"/>
            <w:vAlign w:val="center"/>
          </w:tcPr>
          <w:p>
            <w:pPr>
              <w:spacing w:line="300" w:lineRule="exact"/>
              <w:jc w:val="right"/>
              <w:rPr>
                <w:rFonts w:ascii="方正书宋_GBK" w:eastAsia="方正书宋_GBK" w:cs="Times New Roman"/>
                <w:b/>
              </w:rPr>
            </w:pPr>
          </w:p>
        </w:tc>
        <w:tc>
          <w:tcPr>
            <w:tcW w:w="371" w:type="pct"/>
            <w:shd w:val="clear" w:color="auto" w:fill="auto"/>
            <w:vAlign w:val="center"/>
          </w:tcPr>
          <w:p>
            <w:pPr>
              <w:spacing w:line="300" w:lineRule="exact"/>
              <w:jc w:val="right"/>
              <w:rPr>
                <w:rFonts w:ascii="方正书宋_GBK" w:eastAsia="方正书宋_GBK" w:cs="Times New Roman"/>
                <w:b/>
              </w:rPr>
            </w:pPr>
          </w:p>
        </w:tc>
        <w:tc>
          <w:tcPr>
            <w:tcW w:w="369" w:type="pct"/>
            <w:shd w:val="clear" w:color="auto" w:fill="auto"/>
            <w:vAlign w:val="center"/>
          </w:tcPr>
          <w:p>
            <w:pPr>
              <w:spacing w:line="300" w:lineRule="exact"/>
              <w:jc w:val="right"/>
              <w:rPr>
                <w:rFonts w:ascii="方正书宋_GBK" w:eastAsia="方正书宋_GBK" w:cs="Times New Roman"/>
                <w:b/>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发改局上年末固定资产金额为194.16万元，其中：家具21.91万元，专用设备39.42万元，通用设备132.83万元。本年度我单位无拟购置固定资产，详见下表。</w:t>
      </w:r>
    </w:p>
    <w:tbl>
      <w:tblPr>
        <w:tblStyle w:val="9"/>
        <w:tblW w:w="14034" w:type="dxa"/>
        <w:tblInd w:w="-459" w:type="dxa"/>
        <w:tblLayout w:type="fixed"/>
        <w:tblCellMar>
          <w:top w:w="0" w:type="dxa"/>
          <w:left w:w="108" w:type="dxa"/>
          <w:bottom w:w="0" w:type="dxa"/>
          <w:right w:w="108" w:type="dxa"/>
        </w:tblCellMar>
      </w:tblPr>
      <w:tblGrid>
        <w:gridCol w:w="3261"/>
        <w:gridCol w:w="2126"/>
        <w:gridCol w:w="8647"/>
      </w:tblGrid>
      <w:tr>
        <w:tblPrEx>
          <w:tblCellMar>
            <w:top w:w="0" w:type="dxa"/>
            <w:left w:w="108" w:type="dxa"/>
            <w:bottom w:w="0" w:type="dxa"/>
            <w:right w:w="108" w:type="dxa"/>
          </w:tblCellMar>
        </w:tblPrEx>
        <w:trPr>
          <w:trHeight w:val="705" w:hRule="atLeast"/>
        </w:trPr>
        <w:tc>
          <w:tcPr>
            <w:tcW w:w="14034"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文安县</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5387"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文安县发展和改革局</w:t>
            </w:r>
          </w:p>
        </w:tc>
        <w:tc>
          <w:tcPr>
            <w:tcW w:w="8647"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w:t>
            </w: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8647"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212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8647"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194.16</w:t>
            </w:r>
          </w:p>
        </w:tc>
      </w:tr>
      <w:tr>
        <w:tblPrEx>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212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8647"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212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8647"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212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8647"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80.13</w:t>
            </w:r>
          </w:p>
        </w:tc>
      </w:tr>
      <w:tr>
        <w:tblPrEx>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212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8647"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212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8647"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114.03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300" w:lineRule="exact"/>
        <w:jc w:val="left"/>
        <w:rPr>
          <w:rFonts w:ascii="仿宋" w:hAnsi="仿宋" w:eastAsia="仿宋"/>
          <w:sz w:val="32"/>
          <w:szCs w:val="32"/>
        </w:rPr>
      </w:pPr>
    </w:p>
    <w:p>
      <w:pPr>
        <w:jc w:val="center"/>
        <w:rPr>
          <w:rFonts w:ascii="仿宋" w:hAnsi="仿宋" w:eastAsia="仿宋"/>
          <w:sz w:val="32"/>
          <w:szCs w:val="32"/>
        </w:rPr>
      </w:pPr>
    </w:p>
    <w:p>
      <w:pPr>
        <w:spacing w:line="584" w:lineRule="exact"/>
        <w:ind w:firstLine="640" w:firstLineChars="200"/>
        <w:rPr>
          <w:rFonts w:ascii="仿宋" w:hAnsi="仿宋" w:eastAsia="仿宋" w:cs="Times New Roman"/>
          <w:sz w:val="32"/>
          <w:szCs w:val="32"/>
        </w:rPr>
      </w:pPr>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hMDYxMDYyNDNkZjYwMzZhMWRhZDE5YjE0MjhhNWEifQ=="/>
  </w:docVars>
  <w:rsids>
    <w:rsidRoot w:val="00F66032"/>
    <w:rsid w:val="000053CC"/>
    <w:rsid w:val="00005DD8"/>
    <w:rsid w:val="00007292"/>
    <w:rsid w:val="00007A31"/>
    <w:rsid w:val="00013F7E"/>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257EB"/>
    <w:rsid w:val="00143193"/>
    <w:rsid w:val="00160266"/>
    <w:rsid w:val="001643E8"/>
    <w:rsid w:val="00164641"/>
    <w:rsid w:val="00164B40"/>
    <w:rsid w:val="00176C13"/>
    <w:rsid w:val="00183D1E"/>
    <w:rsid w:val="001919C4"/>
    <w:rsid w:val="0019723B"/>
    <w:rsid w:val="001A0943"/>
    <w:rsid w:val="001A3D44"/>
    <w:rsid w:val="001B5C1D"/>
    <w:rsid w:val="001C2B2C"/>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FD6"/>
    <w:rsid w:val="0029588E"/>
    <w:rsid w:val="00296113"/>
    <w:rsid w:val="002A673A"/>
    <w:rsid w:val="002C29A3"/>
    <w:rsid w:val="002C5E13"/>
    <w:rsid w:val="002C62BC"/>
    <w:rsid w:val="002E0EB8"/>
    <w:rsid w:val="002F3389"/>
    <w:rsid w:val="002F3A53"/>
    <w:rsid w:val="002F3E58"/>
    <w:rsid w:val="0030542C"/>
    <w:rsid w:val="003075D4"/>
    <w:rsid w:val="00311B7A"/>
    <w:rsid w:val="003126B6"/>
    <w:rsid w:val="00313D9C"/>
    <w:rsid w:val="00314231"/>
    <w:rsid w:val="00325215"/>
    <w:rsid w:val="0033339C"/>
    <w:rsid w:val="003442A2"/>
    <w:rsid w:val="0036386B"/>
    <w:rsid w:val="00371FDA"/>
    <w:rsid w:val="00377D7A"/>
    <w:rsid w:val="0039520A"/>
    <w:rsid w:val="003B6D37"/>
    <w:rsid w:val="003D2E03"/>
    <w:rsid w:val="00424943"/>
    <w:rsid w:val="0042727E"/>
    <w:rsid w:val="0043175C"/>
    <w:rsid w:val="00437296"/>
    <w:rsid w:val="00451590"/>
    <w:rsid w:val="00451871"/>
    <w:rsid w:val="004706DE"/>
    <w:rsid w:val="00472923"/>
    <w:rsid w:val="00486DCD"/>
    <w:rsid w:val="0049120C"/>
    <w:rsid w:val="004B0B22"/>
    <w:rsid w:val="004B0C3A"/>
    <w:rsid w:val="004B12F3"/>
    <w:rsid w:val="004B45C1"/>
    <w:rsid w:val="004C49A8"/>
    <w:rsid w:val="004D0AD1"/>
    <w:rsid w:val="004D5788"/>
    <w:rsid w:val="004E3066"/>
    <w:rsid w:val="004E419C"/>
    <w:rsid w:val="004E74CD"/>
    <w:rsid w:val="00517C46"/>
    <w:rsid w:val="00524EFD"/>
    <w:rsid w:val="00527CD9"/>
    <w:rsid w:val="005715BA"/>
    <w:rsid w:val="00572067"/>
    <w:rsid w:val="00573562"/>
    <w:rsid w:val="0057546C"/>
    <w:rsid w:val="00580D9E"/>
    <w:rsid w:val="00590ECE"/>
    <w:rsid w:val="005B041A"/>
    <w:rsid w:val="005C0E90"/>
    <w:rsid w:val="005C498C"/>
    <w:rsid w:val="005D0242"/>
    <w:rsid w:val="005D37CA"/>
    <w:rsid w:val="005D5683"/>
    <w:rsid w:val="005F3D18"/>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C5068"/>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75E3"/>
    <w:rsid w:val="008642CC"/>
    <w:rsid w:val="00864B7F"/>
    <w:rsid w:val="00881692"/>
    <w:rsid w:val="008858FF"/>
    <w:rsid w:val="0089075B"/>
    <w:rsid w:val="008A6576"/>
    <w:rsid w:val="008A6D3B"/>
    <w:rsid w:val="008B3CC5"/>
    <w:rsid w:val="008B52CD"/>
    <w:rsid w:val="008C4AAE"/>
    <w:rsid w:val="008C7C4D"/>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A1AD4"/>
    <w:rsid w:val="00AB77AA"/>
    <w:rsid w:val="00AC1794"/>
    <w:rsid w:val="00AC4748"/>
    <w:rsid w:val="00AD5259"/>
    <w:rsid w:val="00AE1A02"/>
    <w:rsid w:val="00AF3435"/>
    <w:rsid w:val="00B01D36"/>
    <w:rsid w:val="00B078CD"/>
    <w:rsid w:val="00B20712"/>
    <w:rsid w:val="00B43238"/>
    <w:rsid w:val="00B45DD3"/>
    <w:rsid w:val="00B523CF"/>
    <w:rsid w:val="00B54B90"/>
    <w:rsid w:val="00B64FA8"/>
    <w:rsid w:val="00B73582"/>
    <w:rsid w:val="00B75216"/>
    <w:rsid w:val="00B755A2"/>
    <w:rsid w:val="00B75C1E"/>
    <w:rsid w:val="00B86F7D"/>
    <w:rsid w:val="00B9104C"/>
    <w:rsid w:val="00B91D52"/>
    <w:rsid w:val="00B9490F"/>
    <w:rsid w:val="00BA0016"/>
    <w:rsid w:val="00BA1ACD"/>
    <w:rsid w:val="00BD09F8"/>
    <w:rsid w:val="00BD7278"/>
    <w:rsid w:val="00C005B2"/>
    <w:rsid w:val="00C1565C"/>
    <w:rsid w:val="00C21E0F"/>
    <w:rsid w:val="00C362CA"/>
    <w:rsid w:val="00C56BB2"/>
    <w:rsid w:val="00C62B08"/>
    <w:rsid w:val="00C772C1"/>
    <w:rsid w:val="00C77976"/>
    <w:rsid w:val="00CA7176"/>
    <w:rsid w:val="00CC64E0"/>
    <w:rsid w:val="00CC75B0"/>
    <w:rsid w:val="00CD2773"/>
    <w:rsid w:val="00CD3C04"/>
    <w:rsid w:val="00CE01BA"/>
    <w:rsid w:val="00CE143B"/>
    <w:rsid w:val="00CE3A91"/>
    <w:rsid w:val="00D016A3"/>
    <w:rsid w:val="00D06D5A"/>
    <w:rsid w:val="00D07DBA"/>
    <w:rsid w:val="00D23C16"/>
    <w:rsid w:val="00D27003"/>
    <w:rsid w:val="00D324AD"/>
    <w:rsid w:val="00D818AC"/>
    <w:rsid w:val="00D86ED8"/>
    <w:rsid w:val="00D926D0"/>
    <w:rsid w:val="00D9307A"/>
    <w:rsid w:val="00DB08DA"/>
    <w:rsid w:val="00DB4322"/>
    <w:rsid w:val="00DD1D0C"/>
    <w:rsid w:val="00DD3252"/>
    <w:rsid w:val="00DD62E6"/>
    <w:rsid w:val="00DE186D"/>
    <w:rsid w:val="00DE4AC2"/>
    <w:rsid w:val="00E167C7"/>
    <w:rsid w:val="00E55B78"/>
    <w:rsid w:val="00E76361"/>
    <w:rsid w:val="00E84020"/>
    <w:rsid w:val="00EB1674"/>
    <w:rsid w:val="00EB53A2"/>
    <w:rsid w:val="00EB7A80"/>
    <w:rsid w:val="00EC47F6"/>
    <w:rsid w:val="00EC797B"/>
    <w:rsid w:val="00ED0C47"/>
    <w:rsid w:val="00EE6D6D"/>
    <w:rsid w:val="00EF08C9"/>
    <w:rsid w:val="00EF3CEA"/>
    <w:rsid w:val="00EF535E"/>
    <w:rsid w:val="00F10A48"/>
    <w:rsid w:val="00F22ECF"/>
    <w:rsid w:val="00F36922"/>
    <w:rsid w:val="00F471F7"/>
    <w:rsid w:val="00F66032"/>
    <w:rsid w:val="00F72DE3"/>
    <w:rsid w:val="00F83B96"/>
    <w:rsid w:val="00F8441D"/>
    <w:rsid w:val="00F87C1E"/>
    <w:rsid w:val="00F958C2"/>
    <w:rsid w:val="00FA538C"/>
    <w:rsid w:val="00FA6FE9"/>
    <w:rsid w:val="00FA740E"/>
    <w:rsid w:val="00FC06C7"/>
    <w:rsid w:val="00FC7CF0"/>
    <w:rsid w:val="00FD0986"/>
    <w:rsid w:val="00FD5DB4"/>
    <w:rsid w:val="00FE1724"/>
    <w:rsid w:val="00FE753C"/>
    <w:rsid w:val="00FF2162"/>
    <w:rsid w:val="00FF2346"/>
    <w:rsid w:val="144543CB"/>
    <w:rsid w:val="1FA20B83"/>
    <w:rsid w:val="2D7B5F5A"/>
    <w:rsid w:val="2EFB27D8"/>
    <w:rsid w:val="3FF751B4"/>
    <w:rsid w:val="68DC44EC"/>
    <w:rsid w:val="6DF445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toc 4"/>
    <w:basedOn w:val="1"/>
    <w:next w:val="1"/>
    <w:unhideWhenUsed/>
    <w:uiPriority w:val="39"/>
    <w:pPr>
      <w:spacing w:line="360" w:lineRule="auto"/>
      <w:ind w:left="1260" w:leftChars="600"/>
    </w:pPr>
    <w:rPr>
      <w:rFonts w:ascii="Calibri" w:hAnsi="Calibri" w:eastAsia="宋体" w:cs="Times New Roman"/>
    </w:rPr>
  </w:style>
  <w:style w:type="paragraph" w:styleId="7">
    <w:name w:val="footnote text"/>
    <w:basedOn w:val="1"/>
    <w:link w:val="18"/>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39"/>
    <w:pPr>
      <w:ind w:left="420" w:leftChars="200"/>
    </w:pPr>
    <w:rPr>
      <w:rFonts w:ascii="Times New Roman" w:hAnsi="Times New Roman" w:eastAsia="宋体" w:cs="Times New Roman"/>
      <w:szCs w:val="24"/>
    </w:rPr>
  </w:style>
  <w:style w:type="character" w:styleId="11">
    <w:name w:val="page number"/>
    <w:basedOn w:val="10"/>
    <w:semiHidden/>
    <w:unhideWhenUsed/>
    <w:uiPriority w:val="99"/>
  </w:style>
  <w:style w:type="character" w:styleId="12">
    <w:name w:val="Hyperlink"/>
    <w:basedOn w:val="10"/>
    <w:unhideWhenUsed/>
    <w:uiPriority w:val="99"/>
    <w:rPr>
      <w:color w:val="0000FF"/>
      <w:u w:val="single"/>
    </w:rPr>
  </w:style>
  <w:style w:type="character" w:styleId="13">
    <w:name w:val="footnote reference"/>
    <w:semiHidden/>
    <w:unhideWhenUsed/>
    <w:qFormat/>
    <w:uiPriority w:val="99"/>
    <w:rPr>
      <w:vertAlign w:val="superscript"/>
    </w:rPr>
  </w:style>
  <w:style w:type="character" w:customStyle="1" w:styleId="14">
    <w:name w:val="页眉 Char"/>
    <w:basedOn w:val="10"/>
    <w:link w:val="4"/>
    <w:qFormat/>
    <w:uiPriority w:val="99"/>
    <w:rPr>
      <w:rFonts w:ascii="Times New Roman" w:hAnsi="Times New Roman" w:eastAsia="宋体" w:cs="Times New Roman"/>
      <w:sz w:val="18"/>
      <w:szCs w:val="18"/>
    </w:rPr>
  </w:style>
  <w:style w:type="character" w:customStyle="1" w:styleId="15">
    <w:name w:val="页脚 Char"/>
    <w:basedOn w:val="10"/>
    <w:link w:val="3"/>
    <w:qFormat/>
    <w:uiPriority w:val="99"/>
    <w:rPr>
      <w:rFonts w:ascii="Times New Roman" w:hAnsi="Times New Roman" w:eastAsia="宋体" w:cs="Times New Roman"/>
      <w:sz w:val="18"/>
      <w:szCs w:val="18"/>
    </w:rPr>
  </w:style>
  <w:style w:type="character" w:customStyle="1" w:styleId="16">
    <w:name w:val="批注框文本 Char"/>
    <w:basedOn w:val="10"/>
    <w:link w:val="2"/>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8">
    <w:name w:val="脚注文本 Char"/>
    <w:basedOn w:val="10"/>
    <w:link w:val="7"/>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7DAA-4C25-469F-96D1-D17AA76A28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17022</Words>
  <Characters>19088</Characters>
  <Lines>156</Lines>
  <Paragraphs>43</Paragraphs>
  <TotalTime>90</TotalTime>
  <ScaleCrop>false</ScaleCrop>
  <LinksUpToDate>false</LinksUpToDate>
  <CharactersWithSpaces>19216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Hellen</cp:lastModifiedBy>
  <cp:lastPrinted>2018-01-30T06:12:00Z</cp:lastPrinted>
  <dcterms:modified xsi:type="dcterms:W3CDTF">2023-07-25T07:37:41Z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5ABBB2B32D054474A3517CB59AFA98ED_12</vt:lpwstr>
  </property>
</Properties>
</file>